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tbl>
      <w:tblPr>
        <w:tblW w:w="9377" w:type="dxa"/>
        <w:tblLayout w:type="fixed"/>
        <w:tblCellMar>
          <w:left w:w="70" w:type="dxa"/>
          <w:right w:w="70" w:type="dxa"/>
        </w:tblCellMar>
        <w:tblLook w:val="0000"/>
      </w:tblPr>
      <w:tblGrid>
        <w:gridCol w:w="895"/>
        <w:gridCol w:w="69"/>
        <w:gridCol w:w="45"/>
        <w:gridCol w:w="621"/>
        <w:gridCol w:w="5332"/>
        <w:gridCol w:w="2415"/>
      </w:tblGrid>
      <w:tr w14:paraId="5042B65B" w14:textId="77777777" w:rsidTr="00534479">
        <w:tblPrEx>
          <w:tblW w:w="9377" w:type="dxa"/>
          <w:tblLayout w:type="fixed"/>
          <w:tblLook w:val="0000"/>
        </w:tblPrEx>
        <w:trPr>
          <w:trHeight w:val="360"/>
        </w:trPr>
        <w:tc>
          <w:tcPr>
            <w:tcW w:w="6962" w:type="dxa"/>
            <w:gridSpan w:val="5"/>
          </w:tcPr>
          <w:p w:rsidR="00121A72" w:rsidRPr="003E7848" w:rsidP="003E7848" w14:paraId="482FB19D" w14:textId="73B58805">
            <w:pPr>
              <w:pStyle w:val="zSoquijdatRepertorie"/>
              <w:rPr>
                <w:rFonts w:cs="Arial"/>
              </w:rPr>
            </w:pPr>
            <w:r>
              <w:rPr>
                <w:rFonts w:cs="Arial"/>
                <w:lang w:val="fr-CA" w:eastAsia="fr-CA"/>
              </w:rPr>
              <w:t>Ohayon c. Starbucks Coffee Canada inc.</w:t>
            </w:r>
          </w:p>
        </w:tc>
        <w:tc>
          <w:tcPr>
            <w:tcW w:w="2415" w:type="dxa"/>
          </w:tcPr>
          <w:p w:rsidR="00121A72" w:rsidRPr="00326D6F" w:rsidP="00326D6F" w14:paraId="68BDB12B" w14:textId="6010CF07">
            <w:pPr>
              <w:pStyle w:val="zSoquijdatRefNeutre"/>
              <w:jc w:val="right"/>
              <w:rPr>
                <w:rFonts w:cs="Arial"/>
              </w:rPr>
            </w:pPr>
            <w:r w:rsidRPr="00326D6F">
              <w:rPr>
                <w:rFonts w:cs="Arial"/>
              </w:rPr>
              <w:t>2026 QCCS 2064</w:t>
            </w:r>
          </w:p>
        </w:tc>
      </w:tr>
      <w:tr w14:paraId="727669E5" w14:textId="77777777" w:rsidTr="00534479">
        <w:tblPrEx>
          <w:tblW w:w="9377" w:type="dxa"/>
          <w:tblLayout w:type="fixed"/>
          <w:tblLook w:val="0000"/>
        </w:tblPrEx>
        <w:trPr>
          <w:trHeight w:val="900"/>
        </w:trPr>
        <w:tc>
          <w:tcPr>
            <w:tcW w:w="9377" w:type="dxa"/>
            <w:gridSpan w:val="6"/>
            <w:vAlign w:val="bottom"/>
          </w:tcPr>
          <w:p w:rsidR="00121A72" w:rsidRPr="00C46DAC" w:rsidP="00040446" w14:paraId="2A5AA4F1" w14:textId="153FC170">
            <w:pPr>
              <w:pStyle w:val="zSoquijlblCour"/>
              <w:rPr>
                <w:highlight w:val="yellow"/>
              </w:rPr>
            </w:pPr>
            <w:r w:rsidRPr="00025629">
              <w:t>COUR SUPÉRIEURE</w:t>
            </w:r>
          </w:p>
        </w:tc>
      </w:tr>
      <w:tr w14:paraId="2079ED57" w14:textId="77777777" w:rsidTr="00534479">
        <w:tblPrEx>
          <w:tblW w:w="9377" w:type="dxa"/>
          <w:tblLayout w:type="fixed"/>
          <w:tblLook w:val="0000"/>
        </w:tblPrEx>
        <w:trPr>
          <w:trHeight w:val="540"/>
        </w:trPr>
        <w:tc>
          <w:tcPr>
            <w:tcW w:w="9377" w:type="dxa"/>
            <w:gridSpan w:val="6"/>
          </w:tcPr>
          <w:p w:rsidR="00121A72" w:rsidRPr="00C46DAC" w:rsidP="00040446" w14:paraId="43C966CF" w14:textId="440EA095">
            <w:pPr>
              <w:pStyle w:val="zSoquijdatDivision"/>
              <w:rPr>
                <w:highlight w:val="yellow"/>
              </w:rPr>
            </w:pPr>
            <w:r w:rsidRPr="000B3CBE">
              <w:t>(Chambre des actions collectives)</w:t>
            </w:r>
          </w:p>
        </w:tc>
      </w:tr>
      <w:tr w14:paraId="1F1FB34A" w14:textId="77777777" w:rsidTr="00534479">
        <w:tblPrEx>
          <w:tblW w:w="9377" w:type="dxa"/>
          <w:tblLayout w:type="fixed"/>
          <w:tblLook w:val="0000"/>
        </w:tblPrEx>
        <w:tc>
          <w:tcPr>
            <w:tcW w:w="9377" w:type="dxa"/>
            <w:gridSpan w:val="6"/>
          </w:tcPr>
          <w:p w:rsidR="00121A72" w:rsidRPr="00025629" w:rsidP="00040446" w14:paraId="0092E9CB" w14:textId="77777777">
            <w:pPr>
              <w:pStyle w:val="zSoquijlblPays"/>
            </w:pPr>
            <w:r w:rsidRPr="00025629">
              <w:t>CANADA</w:t>
            </w:r>
          </w:p>
        </w:tc>
      </w:tr>
      <w:tr w14:paraId="630142D6" w14:textId="77777777" w:rsidTr="00534479">
        <w:tblPrEx>
          <w:tblW w:w="9377" w:type="dxa"/>
          <w:tblLayout w:type="fixed"/>
          <w:tblLook w:val="0000"/>
        </w:tblPrEx>
        <w:tc>
          <w:tcPr>
            <w:tcW w:w="9377" w:type="dxa"/>
            <w:gridSpan w:val="6"/>
          </w:tcPr>
          <w:p w:rsidR="00121A72" w:rsidRPr="00025629" w:rsidP="00040446" w14:paraId="1E2DED9C" w14:textId="305B6162">
            <w:pPr>
              <w:pStyle w:val="zSoquijlblProvince"/>
            </w:pPr>
            <w:r w:rsidRPr="00025629">
              <w:t xml:space="preserve">PROVINCE </w:t>
            </w:r>
            <w:r w:rsidRPr="00025629" w:rsidR="00025629">
              <w:t>de</w:t>
            </w:r>
            <w:r w:rsidRPr="00025629" w:rsidR="00E31D13">
              <w:t xml:space="preserve"> QU</w:t>
            </w:r>
            <w:r w:rsidRPr="00025629" w:rsidR="00025629">
              <w:t>É</w:t>
            </w:r>
            <w:r w:rsidRPr="00025629" w:rsidR="00E31D13">
              <w:t>BEC</w:t>
            </w:r>
          </w:p>
        </w:tc>
      </w:tr>
      <w:tr w14:paraId="2996101C" w14:textId="77777777" w:rsidTr="00534479">
        <w:tblPrEx>
          <w:tblW w:w="9377" w:type="dxa"/>
          <w:tblLayout w:type="fixed"/>
          <w:tblCellMar>
            <w:left w:w="0" w:type="dxa"/>
            <w:right w:w="0" w:type="dxa"/>
          </w:tblCellMar>
          <w:tblLook w:val="0000"/>
        </w:tblPrEx>
        <w:trPr>
          <w:cantSplit/>
        </w:trPr>
        <w:tc>
          <w:tcPr>
            <w:tcW w:w="1630" w:type="dxa"/>
            <w:gridSpan w:val="4"/>
          </w:tcPr>
          <w:p w:rsidR="00121A72" w:rsidRPr="00025629" w:rsidP="00040446" w14:paraId="426E0709" w14:textId="3542C77B">
            <w:pPr>
              <w:pStyle w:val="zSoquijlblGreffe"/>
            </w:pPr>
            <w:r w:rsidRPr="00025629">
              <w:t xml:space="preserve">DISTRICT </w:t>
            </w:r>
            <w:r w:rsidRPr="00025629" w:rsidR="00025629">
              <w:t>DE</w:t>
            </w:r>
          </w:p>
        </w:tc>
        <w:tc>
          <w:tcPr>
            <w:tcW w:w="7747" w:type="dxa"/>
            <w:gridSpan w:val="2"/>
          </w:tcPr>
          <w:p w:rsidR="00121A72" w:rsidRPr="00025629" w:rsidP="00040446" w14:paraId="1210CD06" w14:textId="1F89CD44">
            <w:pPr>
              <w:pStyle w:val="zSoquijdatGreffe"/>
            </w:pPr>
            <w:r w:rsidRPr="00025629">
              <w:t>MONTREAL</w:t>
            </w:r>
          </w:p>
        </w:tc>
      </w:tr>
      <w:tr w14:paraId="35043210" w14:textId="77777777" w:rsidTr="00534479">
        <w:tblPrEx>
          <w:tblW w:w="9377" w:type="dxa"/>
          <w:tblLayout w:type="fixed"/>
          <w:tblCellMar>
            <w:left w:w="0" w:type="dxa"/>
            <w:right w:w="0" w:type="dxa"/>
          </w:tblCellMar>
          <w:tblLook w:val="0000"/>
        </w:tblPrEx>
        <w:trPr>
          <w:cantSplit/>
        </w:trPr>
        <w:tc>
          <w:tcPr>
            <w:tcW w:w="1009" w:type="dxa"/>
            <w:gridSpan w:val="3"/>
          </w:tcPr>
          <w:p w:rsidR="00121A72" w:rsidRPr="00C46DAC" w:rsidP="00040446" w14:paraId="7CF4CD19" w14:textId="77777777">
            <w:pPr>
              <w:pStyle w:val="zSoquijlblLocalite"/>
              <w:rPr>
                <w:highlight w:val="yellow"/>
              </w:rPr>
            </w:pPr>
          </w:p>
        </w:tc>
        <w:tc>
          <w:tcPr>
            <w:tcW w:w="8368" w:type="dxa"/>
            <w:gridSpan w:val="3"/>
          </w:tcPr>
          <w:p w:rsidR="00121A72" w:rsidRPr="00C46DAC" w:rsidP="00040446" w14:paraId="566D2A7F" w14:textId="77777777">
            <w:pPr>
              <w:pStyle w:val="zSoquijdatLocalite"/>
              <w:rPr>
                <w:highlight w:val="yellow"/>
              </w:rPr>
            </w:pPr>
          </w:p>
        </w:tc>
      </w:tr>
      <w:tr w14:paraId="667625AD" w14:textId="77777777" w:rsidTr="00534479">
        <w:tblPrEx>
          <w:tblW w:w="9377" w:type="dxa"/>
          <w:tblLayout w:type="fixed"/>
          <w:tblLook w:val="0000"/>
        </w:tblPrEx>
        <w:tc>
          <w:tcPr>
            <w:tcW w:w="964" w:type="dxa"/>
            <w:gridSpan w:val="2"/>
          </w:tcPr>
          <w:p w:rsidR="00121A72" w:rsidRPr="00773EE9" w:rsidP="00040446" w14:paraId="7D01672D" w14:textId="77777777">
            <w:pPr>
              <w:pStyle w:val="zSoquijlblNoDossier"/>
            </w:pPr>
            <w:r w:rsidRPr="00773EE9">
              <w:t>No</w:t>
            </w:r>
            <w:r w:rsidRPr="00773EE9" w:rsidR="00951529">
              <w:t>.</w:t>
            </w:r>
            <w:r w:rsidRPr="00773EE9">
              <w:t>:</w:t>
            </w:r>
          </w:p>
        </w:tc>
        <w:tc>
          <w:tcPr>
            <w:tcW w:w="8413" w:type="dxa"/>
            <w:gridSpan w:val="4"/>
          </w:tcPr>
          <w:p w:rsidR="00121A72" w:rsidRPr="00773EE9" w:rsidP="00A60827" w14:paraId="39E0219C" w14:textId="04946F8A">
            <w:pPr>
              <w:pStyle w:val="zSoquijdatNoDossier"/>
              <w:ind w:left="-82"/>
            </w:pPr>
            <w:r w:rsidRPr="00773EE9">
              <w:t>500-06-001351-242</w:t>
            </w:r>
          </w:p>
        </w:tc>
      </w:tr>
      <w:tr w14:paraId="05E118E7" w14:textId="77777777" w:rsidTr="00534479">
        <w:tblPrEx>
          <w:tblW w:w="9377" w:type="dxa"/>
          <w:tblLayout w:type="fixed"/>
          <w:tblCellMar>
            <w:left w:w="0" w:type="dxa"/>
            <w:right w:w="0" w:type="dxa"/>
          </w:tblCellMar>
          <w:tblLook w:val="0000"/>
        </w:tblPrEx>
        <w:trPr>
          <w:cantSplit/>
        </w:trPr>
        <w:tc>
          <w:tcPr>
            <w:tcW w:w="964" w:type="dxa"/>
            <w:gridSpan w:val="2"/>
          </w:tcPr>
          <w:p w:rsidR="00121A72" w:rsidRPr="00773EE9" w:rsidP="00040446" w14:paraId="5D904D0A" w14:textId="77777777">
            <w:pPr>
              <w:pStyle w:val="zSoquijlblGreffe"/>
            </w:pPr>
          </w:p>
        </w:tc>
        <w:tc>
          <w:tcPr>
            <w:tcW w:w="8413" w:type="dxa"/>
            <w:gridSpan w:val="4"/>
          </w:tcPr>
          <w:p w:rsidR="00121A72" w:rsidRPr="00773EE9" w:rsidP="00040446" w14:paraId="03E867C1" w14:textId="4D87BFB3">
            <w:pPr>
              <w:pStyle w:val="zSoquijdatNoDossierAnt"/>
            </w:pPr>
          </w:p>
        </w:tc>
      </w:tr>
      <w:tr w14:paraId="3889598D" w14:textId="77777777" w:rsidTr="00534479">
        <w:tblPrEx>
          <w:tblW w:w="9377" w:type="dxa"/>
          <w:tblLayout w:type="fixed"/>
          <w:tblLook w:val="0000"/>
        </w:tblPrEx>
        <w:trPr>
          <w:cantSplit/>
          <w:trHeight w:val="235"/>
        </w:trPr>
        <w:tc>
          <w:tcPr>
            <w:tcW w:w="9377" w:type="dxa"/>
            <w:gridSpan w:val="6"/>
          </w:tcPr>
          <w:p w:rsidR="00121A72" w:rsidRPr="00773EE9" w:rsidP="00040446" w14:paraId="27851BD4" w14:textId="77777777"/>
        </w:tc>
      </w:tr>
      <w:tr w14:paraId="206791EE" w14:textId="77777777" w:rsidTr="00534479">
        <w:tblPrEx>
          <w:tblW w:w="9377" w:type="dxa"/>
          <w:tblLayout w:type="fixed"/>
          <w:tblLook w:val="0000"/>
        </w:tblPrEx>
        <w:tc>
          <w:tcPr>
            <w:tcW w:w="895" w:type="dxa"/>
          </w:tcPr>
          <w:p w:rsidR="00121A72" w:rsidRPr="00773EE9" w:rsidP="00040446" w14:paraId="083D3F48" w14:textId="77777777">
            <w:pPr>
              <w:pStyle w:val="zSoquijlblDateJugement"/>
            </w:pPr>
            <w:r w:rsidRPr="00773EE9">
              <w:t>DATE:</w:t>
            </w:r>
          </w:p>
        </w:tc>
        <w:tc>
          <w:tcPr>
            <w:tcW w:w="8482" w:type="dxa"/>
            <w:gridSpan w:val="5"/>
          </w:tcPr>
          <w:p w:rsidR="00121A72" w:rsidRPr="00B725A0" w:rsidP="00040446" w14:paraId="30B16474" w14:textId="6BD20333">
            <w:pPr>
              <w:pStyle w:val="zSoquijdatDateJugement"/>
              <w:rPr>
                <w:lang w:val="fr-CA"/>
              </w:rPr>
            </w:pPr>
            <w:r w:rsidRPr="00B725A0">
              <w:rPr>
                <w:lang w:val="fr-CA"/>
              </w:rPr>
              <w:t>10 juin</w:t>
            </w:r>
            <w:r w:rsidRPr="00B725A0" w:rsidR="00F05D87">
              <w:rPr>
                <w:lang w:val="fr-CA"/>
              </w:rPr>
              <w:t xml:space="preserve"> 2026</w:t>
            </w:r>
          </w:p>
        </w:tc>
      </w:tr>
      <w:tr w14:paraId="42DCA91B" w14:textId="77777777" w:rsidTr="00534479">
        <w:tblPrEx>
          <w:tblW w:w="9377" w:type="dxa"/>
          <w:tblLayout w:type="fixed"/>
          <w:tblLook w:val="0000"/>
        </w:tblPrEx>
        <w:tc>
          <w:tcPr>
            <w:tcW w:w="9377" w:type="dxa"/>
            <w:gridSpan w:val="6"/>
          </w:tcPr>
          <w:p w:rsidR="00121A72" w:rsidRPr="00773EE9" w:rsidP="00040446" w14:paraId="40561E7E" w14:textId="77777777">
            <w:pPr>
              <w:ind w:left="14" w:right="-67"/>
            </w:pPr>
            <w:r w:rsidRPr="00773EE9">
              <w:t>______________________________________</w:t>
            </w:r>
            <w:r w:rsidRPr="00773EE9" w:rsidR="00356B65">
              <w:t>_______________________________</w:t>
            </w:r>
          </w:p>
        </w:tc>
      </w:tr>
      <w:tr w14:paraId="7104B735" w14:textId="77777777" w:rsidTr="00534479">
        <w:tblPrEx>
          <w:tblW w:w="9377" w:type="dxa"/>
          <w:tblLayout w:type="fixed"/>
          <w:tblLook w:val="0000"/>
        </w:tblPrEx>
        <w:tc>
          <w:tcPr>
            <w:tcW w:w="9377" w:type="dxa"/>
            <w:gridSpan w:val="6"/>
          </w:tcPr>
          <w:p w:rsidR="00121A72" w:rsidRPr="00C46DAC" w:rsidP="00040446" w14:paraId="265048C7" w14:textId="77777777">
            <w:pPr>
              <w:rPr>
                <w:highlight w:val="yellow"/>
              </w:rPr>
            </w:pPr>
          </w:p>
        </w:tc>
      </w:tr>
      <w:tr w14:paraId="492883C3" w14:textId="77777777" w:rsidTr="00534479">
        <w:tblPrEx>
          <w:tblW w:w="9377" w:type="dxa"/>
          <w:tblLayout w:type="fixed"/>
          <w:tblLook w:val="0000"/>
        </w:tblPrEx>
        <w:tc>
          <w:tcPr>
            <w:tcW w:w="9377" w:type="dxa"/>
            <w:gridSpan w:val="6"/>
          </w:tcPr>
          <w:tbl>
            <w:tblPr>
              <w:tblW w:w="9505" w:type="dxa"/>
              <w:tblLayout w:type="fixed"/>
              <w:tblCellMar>
                <w:left w:w="0" w:type="dxa"/>
                <w:right w:w="0" w:type="dxa"/>
              </w:tblCellMar>
              <w:tblLook w:val="0000"/>
            </w:tblPr>
            <w:tblGrid>
              <w:gridCol w:w="3200"/>
              <w:gridCol w:w="1826"/>
              <w:gridCol w:w="4479"/>
            </w:tblGrid>
            <w:tr w14:paraId="5A228D29" w14:textId="77777777" w:rsidTr="006949BD">
              <w:tblPrEx>
                <w:tblW w:w="9505" w:type="dxa"/>
                <w:tblLayout w:type="fixed"/>
                <w:tblLook w:val="0000"/>
              </w:tblPrEx>
              <w:tc>
                <w:tcPr>
                  <w:tcW w:w="3200" w:type="dxa"/>
                </w:tcPr>
                <w:p w:rsidR="001725A3" w:rsidP="001725A3" w14:paraId="4EDAF291" w14:textId="77777777">
                  <w:pPr>
                    <w:pStyle w:val="zSoquijlblJuge"/>
                  </w:pPr>
                  <w:r>
                    <w:t>SOUS LA PRÉSIDENCE DE</w:t>
                  </w:r>
                </w:p>
              </w:tc>
              <w:tc>
                <w:tcPr>
                  <w:tcW w:w="1826" w:type="dxa"/>
                </w:tcPr>
                <w:p w:rsidR="001725A3" w:rsidP="001725A3" w14:paraId="40988BC7" w14:textId="77777777">
                  <w:pPr>
                    <w:pStyle w:val="zSoquijdatQteJuge"/>
                  </w:pPr>
                  <w:r>
                    <w:t>L’HONORABLE</w:t>
                  </w:r>
                </w:p>
              </w:tc>
              <w:tc>
                <w:tcPr>
                  <w:tcW w:w="4479" w:type="dxa"/>
                </w:tcPr>
                <w:p w:rsidR="001725A3" w:rsidRPr="00A35B96" w:rsidP="001725A3" w14:paraId="373728BC" w14:textId="77777777">
                  <w:pPr>
                    <w:pStyle w:val="zSoquijdatJuge"/>
                  </w:pPr>
                  <w:r w:rsidRPr="00A35B96">
                    <w:t>CATHERINE MARTEL, J.C.S.</w:t>
                  </w:r>
                </w:p>
              </w:tc>
            </w:tr>
          </w:tbl>
          <w:p w:rsidR="00D14427" w:rsidRPr="00C46DAC" w:rsidP="00040446" w14:paraId="0E50B47B" w14:textId="77777777">
            <w:pPr>
              <w:rPr>
                <w:highlight w:val="yellow"/>
              </w:rPr>
            </w:pPr>
          </w:p>
        </w:tc>
      </w:tr>
      <w:tr w14:paraId="5A07A3F2" w14:textId="77777777" w:rsidTr="00534479">
        <w:tblPrEx>
          <w:tblW w:w="9377" w:type="dxa"/>
          <w:tblLayout w:type="fixed"/>
          <w:tblLook w:val="0000"/>
        </w:tblPrEx>
        <w:tc>
          <w:tcPr>
            <w:tcW w:w="9377" w:type="dxa"/>
            <w:gridSpan w:val="6"/>
          </w:tcPr>
          <w:p w:rsidR="00121A72" w:rsidRPr="00C46DAC" w:rsidP="00040446" w14:paraId="31886E99" w14:textId="77777777">
            <w:pPr>
              <w:ind w:left="14" w:right="-67"/>
              <w:rPr>
                <w:highlight w:val="yellow"/>
              </w:rPr>
            </w:pPr>
            <w:r w:rsidRPr="00D14427">
              <w:t>______________________________________</w:t>
            </w:r>
            <w:r w:rsidRPr="00D14427" w:rsidR="00356B65">
              <w:t>_______________________________</w:t>
            </w:r>
          </w:p>
        </w:tc>
      </w:tr>
      <w:tr w14:paraId="36D05FD9" w14:textId="77777777" w:rsidTr="00534479">
        <w:tblPrEx>
          <w:tblW w:w="9377" w:type="dxa"/>
          <w:tblLayout w:type="fixed"/>
          <w:tblLook w:val="0000"/>
        </w:tblPrEx>
        <w:tc>
          <w:tcPr>
            <w:tcW w:w="9377" w:type="dxa"/>
            <w:gridSpan w:val="6"/>
          </w:tcPr>
          <w:p w:rsidR="00121A72" w:rsidRPr="00C46DAC" w:rsidP="00040446" w14:paraId="722955E0" w14:textId="77777777">
            <w:pPr>
              <w:pStyle w:val="zSoquijlblTitrePartie"/>
              <w:rPr>
                <w:highlight w:val="yellow"/>
              </w:rPr>
            </w:pPr>
          </w:p>
        </w:tc>
      </w:tr>
      <w:tr w14:paraId="73C13E47" w14:textId="77777777" w:rsidTr="00534479">
        <w:tblPrEx>
          <w:tblW w:w="9377" w:type="dxa"/>
          <w:tblLayout w:type="fixed"/>
          <w:tblLook w:val="0000"/>
        </w:tblPrEx>
        <w:tc>
          <w:tcPr>
            <w:tcW w:w="9377" w:type="dxa"/>
            <w:gridSpan w:val="6"/>
          </w:tcPr>
          <w:p w:rsidR="00121A72" w:rsidRPr="00C46DAC" w:rsidP="00040446" w14:paraId="72F9C9D7" w14:textId="77777777">
            <w:pPr>
              <w:rPr>
                <w:highlight w:val="yellow"/>
              </w:rPr>
            </w:pPr>
          </w:p>
        </w:tc>
      </w:tr>
      <w:tr w14:paraId="4555638E" w14:textId="77777777" w:rsidTr="00534479">
        <w:tblPrEx>
          <w:tblW w:w="9377" w:type="dxa"/>
          <w:tblLayout w:type="fixed"/>
          <w:tblLook w:val="0000"/>
        </w:tblPrEx>
        <w:tc>
          <w:tcPr>
            <w:tcW w:w="9377" w:type="dxa"/>
            <w:gridSpan w:val="6"/>
          </w:tcPr>
          <w:p w:rsidR="00534479" w:rsidRPr="00773EE9" w:rsidP="00534479" w14:paraId="577F2FB0" w14:textId="352940BA">
            <w:pPr>
              <w:pStyle w:val="zSoquijdatNomPartieDem"/>
            </w:pPr>
            <w:r w:rsidRPr="00773EE9">
              <w:t>LIEL OHAYON</w:t>
            </w:r>
          </w:p>
        </w:tc>
      </w:tr>
      <w:tr w14:paraId="5E937EE1" w14:textId="77777777" w:rsidTr="00534479">
        <w:tblPrEx>
          <w:tblW w:w="9377" w:type="dxa"/>
          <w:tblLayout w:type="fixed"/>
          <w:tblLook w:val="0000"/>
        </w:tblPrEx>
        <w:tc>
          <w:tcPr>
            <w:tcW w:w="9377" w:type="dxa"/>
            <w:gridSpan w:val="6"/>
          </w:tcPr>
          <w:p w:rsidR="00534479" w:rsidRPr="00773EE9" w:rsidP="00534479" w14:paraId="77D918A6" w14:textId="06C6FCAA">
            <w:pPr>
              <w:pStyle w:val="zSoquijdatQtePartieDem"/>
            </w:pPr>
            <w:r w:rsidRPr="00773EE9">
              <w:t>Demanderesse</w:t>
            </w:r>
          </w:p>
        </w:tc>
      </w:tr>
      <w:tr w14:paraId="103EAE36" w14:textId="77777777" w:rsidTr="00534479">
        <w:tblPrEx>
          <w:tblW w:w="9377" w:type="dxa"/>
          <w:tblLayout w:type="fixed"/>
          <w:tblLook w:val="0000"/>
        </w:tblPrEx>
        <w:tc>
          <w:tcPr>
            <w:tcW w:w="9377" w:type="dxa"/>
            <w:gridSpan w:val="6"/>
          </w:tcPr>
          <w:p w:rsidR="00534479" w:rsidRPr="00773EE9" w:rsidP="00534479" w14:paraId="5B777134" w14:textId="5F1B394A">
            <w:pPr>
              <w:pStyle w:val="zSoquijlblLienParties"/>
            </w:pPr>
            <w:r w:rsidRPr="00773EE9">
              <w:t>c</w:t>
            </w:r>
            <w:r w:rsidRPr="00773EE9">
              <w:t>.</w:t>
            </w:r>
          </w:p>
        </w:tc>
      </w:tr>
      <w:tr w14:paraId="62DCB6D6" w14:textId="77777777" w:rsidTr="00534479">
        <w:tblPrEx>
          <w:tblW w:w="9377" w:type="dxa"/>
          <w:tblLayout w:type="fixed"/>
          <w:tblLook w:val="0000"/>
        </w:tblPrEx>
        <w:tc>
          <w:tcPr>
            <w:tcW w:w="9377" w:type="dxa"/>
            <w:gridSpan w:val="6"/>
          </w:tcPr>
          <w:p w:rsidR="00F05D87" w:rsidRPr="00773EE9" w:rsidP="00F05D87" w14:paraId="4FAE0AAF" w14:textId="6D98DA09">
            <w:pPr>
              <w:pStyle w:val="zSoquijdatNomPartieDef"/>
            </w:pPr>
            <w:r w:rsidRPr="00773EE9">
              <w:t>STARBUCKS COFFEE CANADA INC.</w:t>
            </w:r>
          </w:p>
        </w:tc>
      </w:tr>
      <w:tr w14:paraId="094D8FF1" w14:textId="77777777" w:rsidTr="00534479">
        <w:tblPrEx>
          <w:tblW w:w="9377" w:type="dxa"/>
          <w:tblLayout w:type="fixed"/>
          <w:tblLook w:val="0000"/>
        </w:tblPrEx>
        <w:tc>
          <w:tcPr>
            <w:tcW w:w="9377" w:type="dxa"/>
            <w:gridSpan w:val="6"/>
          </w:tcPr>
          <w:p w:rsidR="00F05D87" w:rsidRPr="00773EE9" w:rsidP="00F05D87" w14:paraId="1CE49C51" w14:textId="10523A47">
            <w:pPr>
              <w:pStyle w:val="zSoquijdatNomPartieDef"/>
            </w:pPr>
            <w:r w:rsidRPr="00773EE9">
              <w:rPr>
                <w:b w:val="0"/>
                <w:bCs w:val="0"/>
              </w:rPr>
              <w:t>et</w:t>
            </w:r>
          </w:p>
        </w:tc>
      </w:tr>
      <w:tr w14:paraId="1DBD6541" w14:textId="77777777" w:rsidTr="00534479">
        <w:tblPrEx>
          <w:tblW w:w="9377" w:type="dxa"/>
          <w:tblLayout w:type="fixed"/>
          <w:tblLook w:val="0000"/>
        </w:tblPrEx>
        <w:tc>
          <w:tcPr>
            <w:tcW w:w="9377" w:type="dxa"/>
            <w:gridSpan w:val="6"/>
          </w:tcPr>
          <w:p w:rsidR="00F05D87" w:rsidRPr="00773EE9" w:rsidP="00F05D87" w14:paraId="07B74ACE" w14:textId="24B9FDFE">
            <w:pPr>
              <w:pStyle w:val="zSoquijdatNomPartieDef"/>
            </w:pPr>
            <w:r w:rsidRPr="00773EE9">
              <w:t>FOODTASTIC INC.</w:t>
            </w:r>
          </w:p>
        </w:tc>
      </w:tr>
      <w:tr w14:paraId="74C40867" w14:textId="77777777" w:rsidTr="00534479">
        <w:tblPrEx>
          <w:tblW w:w="9377" w:type="dxa"/>
          <w:tblLayout w:type="fixed"/>
          <w:tblLook w:val="0000"/>
        </w:tblPrEx>
        <w:tc>
          <w:tcPr>
            <w:tcW w:w="9377" w:type="dxa"/>
            <w:gridSpan w:val="6"/>
          </w:tcPr>
          <w:p w:rsidR="00F05D87" w:rsidRPr="00773EE9" w:rsidP="00F05D87" w14:paraId="50DACBAA" w14:textId="2B705DB6">
            <w:pPr>
              <w:pStyle w:val="zSoquijdatNomPartieDef"/>
            </w:pPr>
            <w:r w:rsidRPr="00773EE9">
              <w:rPr>
                <w:b w:val="0"/>
                <w:bCs w:val="0"/>
              </w:rPr>
              <w:t>et</w:t>
            </w:r>
          </w:p>
        </w:tc>
      </w:tr>
      <w:tr w14:paraId="0C1F44C2" w14:textId="77777777" w:rsidTr="00534479">
        <w:tblPrEx>
          <w:tblW w:w="9377" w:type="dxa"/>
          <w:tblLayout w:type="fixed"/>
          <w:tblLook w:val="0000"/>
        </w:tblPrEx>
        <w:tc>
          <w:tcPr>
            <w:tcW w:w="9377" w:type="dxa"/>
            <w:gridSpan w:val="6"/>
          </w:tcPr>
          <w:p w:rsidR="00F05D87" w:rsidRPr="00773EE9" w:rsidP="00F05D87" w14:paraId="0D40DB07" w14:textId="6FC74320">
            <w:pPr>
              <w:pStyle w:val="zSoquijdatNomPartieDef"/>
            </w:pPr>
            <w:r w:rsidRPr="00773EE9">
              <w:t>THE TDL GROUP CORPORATION</w:t>
            </w:r>
          </w:p>
        </w:tc>
      </w:tr>
      <w:tr w14:paraId="21CDC2EC" w14:textId="77777777" w:rsidTr="00534479">
        <w:tblPrEx>
          <w:tblW w:w="9377" w:type="dxa"/>
          <w:tblLayout w:type="fixed"/>
          <w:tblLook w:val="0000"/>
        </w:tblPrEx>
        <w:tc>
          <w:tcPr>
            <w:tcW w:w="9377" w:type="dxa"/>
            <w:gridSpan w:val="6"/>
          </w:tcPr>
          <w:p w:rsidR="00F05D87" w:rsidRPr="00773EE9" w:rsidP="00F05D87" w14:paraId="01CC9DC8" w14:textId="3433E8F2">
            <w:pPr>
              <w:pStyle w:val="zSoquijdatNomPartieDef"/>
            </w:pPr>
            <w:r w:rsidRPr="00773EE9">
              <w:rPr>
                <w:b w:val="0"/>
                <w:bCs w:val="0"/>
              </w:rPr>
              <w:t>et</w:t>
            </w:r>
          </w:p>
        </w:tc>
      </w:tr>
      <w:tr w14:paraId="7A0672DE" w14:textId="77777777" w:rsidTr="00534479">
        <w:tblPrEx>
          <w:tblW w:w="9377" w:type="dxa"/>
          <w:tblLayout w:type="fixed"/>
          <w:tblLook w:val="0000"/>
        </w:tblPrEx>
        <w:tc>
          <w:tcPr>
            <w:tcW w:w="9377" w:type="dxa"/>
            <w:gridSpan w:val="6"/>
          </w:tcPr>
          <w:p w:rsidR="00F05D87" w:rsidRPr="00773EE9" w:rsidP="00F05D87" w14:paraId="500C1174" w14:textId="6E8B14F9">
            <w:pPr>
              <w:pStyle w:val="zSoquijdatNomPartieDef"/>
            </w:pPr>
            <w:r w:rsidRPr="00773EE9">
              <w:t>RESTAURANT BRANDS INTERNATIONAL INC.</w:t>
            </w:r>
          </w:p>
        </w:tc>
      </w:tr>
      <w:tr w14:paraId="38917B03" w14:textId="77777777" w:rsidTr="00534479">
        <w:tblPrEx>
          <w:tblW w:w="9377" w:type="dxa"/>
          <w:tblLayout w:type="fixed"/>
          <w:tblLook w:val="0000"/>
        </w:tblPrEx>
        <w:tc>
          <w:tcPr>
            <w:tcW w:w="9377" w:type="dxa"/>
            <w:gridSpan w:val="6"/>
          </w:tcPr>
          <w:p w:rsidR="00F05D87" w:rsidRPr="00773EE9" w:rsidP="00F05D87" w14:paraId="76F1E2AA" w14:textId="23A006F1">
            <w:pPr>
              <w:pStyle w:val="zSoquijdatNomPartieDef"/>
            </w:pPr>
            <w:r w:rsidRPr="00773EE9">
              <w:rPr>
                <w:b w:val="0"/>
                <w:bCs w:val="0"/>
              </w:rPr>
              <w:t>et</w:t>
            </w:r>
          </w:p>
        </w:tc>
      </w:tr>
      <w:tr w14:paraId="3AA7CFAA" w14:textId="77777777" w:rsidTr="00534479">
        <w:tblPrEx>
          <w:tblW w:w="9377" w:type="dxa"/>
          <w:tblLayout w:type="fixed"/>
          <w:tblLook w:val="0000"/>
        </w:tblPrEx>
        <w:tc>
          <w:tcPr>
            <w:tcW w:w="9377" w:type="dxa"/>
            <w:gridSpan w:val="6"/>
          </w:tcPr>
          <w:p w:rsidR="00F05D87" w:rsidRPr="00773EE9" w:rsidP="00F05D87" w14:paraId="7B56592B" w14:textId="54F13B01">
            <w:pPr>
              <w:pStyle w:val="zSoquijdatNomPartieDef"/>
            </w:pPr>
            <w:r w:rsidRPr="00773EE9">
              <w:t>RESTAURANT BRANDS INTERNATIONAL LIMITED PARTNERSHIP</w:t>
            </w:r>
          </w:p>
        </w:tc>
      </w:tr>
      <w:tr w14:paraId="025E1B07" w14:textId="77777777" w:rsidTr="00534479">
        <w:tblPrEx>
          <w:tblW w:w="9377" w:type="dxa"/>
          <w:tblLayout w:type="fixed"/>
          <w:tblLook w:val="0000"/>
        </w:tblPrEx>
        <w:tc>
          <w:tcPr>
            <w:tcW w:w="9377" w:type="dxa"/>
            <w:gridSpan w:val="6"/>
          </w:tcPr>
          <w:p w:rsidR="00F05D87" w:rsidRPr="008D27AA" w:rsidP="00F05D87" w14:paraId="485F12B9" w14:textId="393FD084">
            <w:pPr>
              <w:pStyle w:val="zSoquijdatQtePartieDef"/>
              <w:rPr>
                <w:lang w:val="fr-CA"/>
              </w:rPr>
            </w:pPr>
            <w:r w:rsidRPr="008D27AA">
              <w:rPr>
                <w:lang w:val="fr-CA"/>
              </w:rPr>
              <w:t>Défenderesses</w:t>
            </w:r>
          </w:p>
        </w:tc>
      </w:tr>
      <w:tr w14:paraId="5498EA8F" w14:textId="77777777" w:rsidTr="00534479">
        <w:tblPrEx>
          <w:tblW w:w="9377" w:type="dxa"/>
          <w:tblLayout w:type="fixed"/>
          <w:tblLook w:val="0000"/>
        </w:tblPrEx>
        <w:tc>
          <w:tcPr>
            <w:tcW w:w="9377" w:type="dxa"/>
            <w:gridSpan w:val="6"/>
          </w:tcPr>
          <w:p w:rsidR="00F05D87" w:rsidRPr="00773EE9" w:rsidP="00F05D87" w14:paraId="73385EC7" w14:textId="77777777">
            <w:pPr>
              <w:ind w:left="14" w:right="-95"/>
            </w:pPr>
          </w:p>
        </w:tc>
      </w:tr>
      <w:tr w14:paraId="70C04296" w14:textId="77777777" w:rsidTr="00534479">
        <w:tblPrEx>
          <w:tblW w:w="9377" w:type="dxa"/>
          <w:tblLayout w:type="fixed"/>
          <w:tblLook w:val="0000"/>
        </w:tblPrEx>
        <w:tc>
          <w:tcPr>
            <w:tcW w:w="9377" w:type="dxa"/>
            <w:gridSpan w:val="6"/>
          </w:tcPr>
          <w:p w:rsidR="00F05D87" w:rsidRPr="00773EE9" w:rsidP="00F05D87" w14:paraId="7FEAE0D5" w14:textId="77777777">
            <w:pPr>
              <w:ind w:left="14" w:right="-95"/>
            </w:pPr>
            <w:r w:rsidRPr="00773EE9">
              <w:t>_____________________________________________________________________</w:t>
            </w:r>
          </w:p>
        </w:tc>
      </w:tr>
      <w:tr w14:paraId="70C922ED" w14:textId="77777777" w:rsidTr="00534479">
        <w:tblPrEx>
          <w:tblW w:w="9377" w:type="dxa"/>
          <w:tblLayout w:type="fixed"/>
          <w:tblLook w:val="0000"/>
        </w:tblPrEx>
        <w:tc>
          <w:tcPr>
            <w:tcW w:w="9377" w:type="dxa"/>
            <w:gridSpan w:val="6"/>
          </w:tcPr>
          <w:p w:rsidR="00F05D87" w:rsidRPr="00773EE9" w:rsidP="00F05D87" w14:paraId="1AC77466" w14:textId="77777777">
            <w:pPr>
              <w:jc w:val="center"/>
            </w:pPr>
          </w:p>
        </w:tc>
      </w:tr>
      <w:tr w14:paraId="1708BC4F" w14:textId="77777777" w:rsidTr="00534479">
        <w:tblPrEx>
          <w:tblW w:w="9377" w:type="dxa"/>
          <w:tblLayout w:type="fixed"/>
          <w:tblLook w:val="0000"/>
        </w:tblPrEx>
        <w:tc>
          <w:tcPr>
            <w:tcW w:w="9377" w:type="dxa"/>
            <w:gridSpan w:val="6"/>
          </w:tcPr>
          <w:p w:rsidR="00F05D87" w:rsidRPr="00025629" w:rsidP="00F05D87" w14:paraId="6F4DCEF0" w14:textId="7092D8BE">
            <w:pPr>
              <w:pStyle w:val="zSoquijlblTypeDocument"/>
              <w:rPr>
                <w:b/>
                <w:bCs/>
                <w:lang w:val="fr-CA"/>
              </w:rPr>
            </w:pPr>
            <w:r w:rsidRPr="00025629">
              <w:rPr>
                <w:b/>
                <w:bCs/>
                <w:lang w:val="fr-CA"/>
              </w:rPr>
              <w:t>JU</w:t>
            </w:r>
            <w:r w:rsidRPr="00025629" w:rsidR="00773EE9">
              <w:rPr>
                <w:b/>
                <w:bCs/>
                <w:lang w:val="fr-CA"/>
              </w:rPr>
              <w:t>GE</w:t>
            </w:r>
            <w:r w:rsidRPr="00025629">
              <w:rPr>
                <w:b/>
                <w:bCs/>
                <w:lang w:val="fr-CA"/>
              </w:rPr>
              <w:t>MENT</w:t>
            </w:r>
            <w:r w:rsidRPr="00025629" w:rsidR="00025629">
              <w:rPr>
                <w:b/>
                <w:bCs/>
                <w:lang w:val="fr-CA"/>
              </w:rPr>
              <w:br/>
              <w:t>(aUTORISATION D’UNE ACTION C</w:t>
            </w:r>
            <w:r w:rsidR="00025629">
              <w:rPr>
                <w:b/>
                <w:bCs/>
                <w:lang w:val="fr-CA"/>
              </w:rPr>
              <w:t>OLLECTIVE)</w:t>
            </w:r>
          </w:p>
        </w:tc>
      </w:tr>
      <w:tr w14:paraId="66493530" w14:textId="77777777" w:rsidTr="00534479">
        <w:tblPrEx>
          <w:tblW w:w="9377" w:type="dxa"/>
          <w:tblLayout w:type="fixed"/>
          <w:tblLook w:val="0000"/>
        </w:tblPrEx>
        <w:tc>
          <w:tcPr>
            <w:tcW w:w="9377" w:type="dxa"/>
            <w:gridSpan w:val="6"/>
          </w:tcPr>
          <w:p w:rsidR="00F05D87" w:rsidRPr="00773EE9" w:rsidP="00F05D87" w14:paraId="452CE490" w14:textId="77777777">
            <w:pPr>
              <w:ind w:left="14" w:right="-70"/>
            </w:pPr>
            <w:r w:rsidRPr="00773EE9">
              <w:t>_____________________________________________________________________</w:t>
            </w:r>
          </w:p>
        </w:tc>
      </w:tr>
      <w:tr w14:paraId="53B3B969" w14:textId="77777777" w:rsidTr="00534479">
        <w:tblPrEx>
          <w:tblW w:w="9377" w:type="dxa"/>
          <w:tblLayout w:type="fixed"/>
          <w:tblLook w:val="0000"/>
        </w:tblPrEx>
        <w:tc>
          <w:tcPr>
            <w:tcW w:w="9377" w:type="dxa"/>
            <w:gridSpan w:val="6"/>
          </w:tcPr>
          <w:p w:rsidR="00F05D87" w:rsidRPr="00C46DAC" w:rsidP="00F05D87" w14:paraId="218A5A37" w14:textId="77777777">
            <w:pPr>
              <w:rPr>
                <w:highlight w:val="yellow"/>
              </w:rPr>
            </w:pPr>
          </w:p>
        </w:tc>
      </w:tr>
    </w:tbl>
    <w:tbl>
      <w:tblPr>
        <w:tblpPr w:leftFromText="141" w:rightFromText="141" w:vertAnchor="text" w:horzAnchor="page" w:tblpX="195" w:tblpY="-1451"/>
        <w:tblW w:w="1170" w:type="dxa"/>
        <w:tblLayout w:type="fixed"/>
        <w:tblCellMar>
          <w:left w:w="70" w:type="dxa"/>
          <w:right w:w="70" w:type="dxa"/>
        </w:tblCellMar>
        <w:tblLook w:val="0000"/>
      </w:tblPr>
      <w:tblGrid>
        <w:gridCol w:w="1170"/>
      </w:tblGrid>
      <w:tr w14:paraId="29C53B8E" w14:textId="77777777" w:rsidTr="00534479">
        <w:tblPrEx>
          <w:tblW w:w="1170" w:type="dxa"/>
          <w:tblLayout w:type="fixed"/>
          <w:tblLook w:val="0000"/>
        </w:tblPrEx>
        <w:trPr>
          <w:trHeight w:val="1173"/>
        </w:trPr>
        <w:tc>
          <w:tcPr>
            <w:tcW w:w="1170" w:type="dxa"/>
            <w:vAlign w:val="bottom"/>
          </w:tcPr>
          <w:p w:rsidR="00534479" w:rsidRPr="00C46DAC" w:rsidP="00534479" w14:paraId="6E5ABB02" w14:textId="7890F802">
            <w:pPr>
              <w:pStyle w:val="zSoquijdatIdJuge"/>
              <w:rPr>
                <w:highlight w:val="yellow"/>
              </w:rPr>
            </w:pPr>
            <w:bookmarkStart w:id="0" w:name="_Toc430945620"/>
            <w:r w:rsidRPr="00773EE9">
              <w:t>JM3321</w:t>
            </w:r>
          </w:p>
        </w:tc>
      </w:tr>
    </w:tbl>
    <w:bookmarkEnd w:id="0"/>
    <w:p w:rsidR="00121A72" w:rsidRPr="00C46DAC" w:rsidP="001D68CB" w14:paraId="276C7FBB" w14:textId="19B20CF0">
      <w:pPr>
        <w:pStyle w:val="Heading1"/>
        <w:rPr>
          <w:lang w:val="fr-CA"/>
        </w:rPr>
      </w:pPr>
      <w:r>
        <w:rPr>
          <w:lang w:val="fr-CA"/>
        </w:rPr>
        <w:t>APERÇU</w:t>
      </w:r>
    </w:p>
    <w:p w:rsidR="00AB7E44" w:rsidP="00025629" w14:paraId="3988E47B" w14:textId="79FC6991">
      <w:pPr>
        <w:pStyle w:val="Paragrdouble"/>
        <w:tabs>
          <w:tab w:val="clear" w:pos="360"/>
        </w:tabs>
        <w:spacing w:line="240" w:lineRule="auto"/>
        <w:rPr>
          <w:lang w:val="fr-CA"/>
        </w:rPr>
      </w:pPr>
      <w:r>
        <w:rPr>
          <w:lang w:val="fr-CA"/>
        </w:rPr>
        <w:t>L</w:t>
      </w:r>
      <w:r w:rsidR="007C088A">
        <w:rPr>
          <w:lang w:val="fr-CA"/>
        </w:rPr>
        <w:t>a demanderesse</w:t>
      </w:r>
      <w:r w:rsidR="00773EE9">
        <w:rPr>
          <w:lang w:val="fr-CA"/>
        </w:rPr>
        <w:t xml:space="preserve"> veut obtenir</w:t>
      </w:r>
      <w:r w:rsidR="007C088A">
        <w:rPr>
          <w:lang w:val="fr-CA"/>
        </w:rPr>
        <w:t xml:space="preserve"> l’autorisation d’exercer une action collective contre les défenderesses, qui exploitent </w:t>
      </w:r>
      <w:r w:rsidR="00823E36">
        <w:rPr>
          <w:lang w:val="fr-CA"/>
        </w:rPr>
        <w:t xml:space="preserve">directement ou indirectement </w:t>
      </w:r>
      <w:r w:rsidR="007C088A">
        <w:rPr>
          <w:lang w:val="fr-CA"/>
        </w:rPr>
        <w:t xml:space="preserve">des </w:t>
      </w:r>
      <w:r w:rsidR="00F35447">
        <w:rPr>
          <w:lang w:val="fr-CA"/>
        </w:rPr>
        <w:t>réseaux de franchises</w:t>
      </w:r>
      <w:r w:rsidR="007C088A">
        <w:rPr>
          <w:lang w:val="fr-CA"/>
        </w:rPr>
        <w:t xml:space="preserve"> </w:t>
      </w:r>
      <w:r w:rsidR="00823E36">
        <w:rPr>
          <w:lang w:val="fr-CA"/>
        </w:rPr>
        <w:t xml:space="preserve">de restaurants </w:t>
      </w:r>
      <w:r w:rsidR="007C088A">
        <w:rPr>
          <w:lang w:val="fr-CA"/>
        </w:rPr>
        <w:t>Starbucks</w:t>
      </w:r>
      <w:r w:rsidR="00823E36">
        <w:rPr>
          <w:lang w:val="fr-CA"/>
        </w:rPr>
        <w:t xml:space="preserve">, </w:t>
      </w:r>
      <w:r w:rsidR="007C088A">
        <w:rPr>
          <w:lang w:val="fr-CA"/>
        </w:rPr>
        <w:t>Second Cup</w:t>
      </w:r>
      <w:r w:rsidR="00823E36">
        <w:rPr>
          <w:lang w:val="fr-CA"/>
        </w:rPr>
        <w:t xml:space="preserve"> et Tim Hortons</w:t>
      </w:r>
      <w:r w:rsidR="00E50678">
        <w:rPr>
          <w:lang w:val="fr-CA"/>
        </w:rPr>
        <w:t>. Le groupe visé par la demande est formé des</w:t>
      </w:r>
      <w:r w:rsidR="00F35447">
        <w:rPr>
          <w:lang w:val="fr-CA"/>
        </w:rPr>
        <w:t xml:space="preserve"> personnes suivantes :</w:t>
      </w:r>
    </w:p>
    <w:p w:rsidR="00025629" w:rsidP="00025629" w14:paraId="0DD201ED" w14:textId="187300F0">
      <w:pPr>
        <w:pStyle w:val="Quote"/>
        <w:rPr>
          <w:rFonts w:ascii="ArialMT" w:hAnsi="ArialMT" w:cs="ArialMT"/>
          <w:lang w:eastAsia="fr-CA"/>
        </w:rPr>
      </w:pPr>
      <w:r>
        <w:rPr>
          <w:rFonts w:ascii="ArialMT" w:hAnsi="ArialMT" w:cs="ArialMT"/>
          <w:lang w:eastAsia="fr-CA"/>
        </w:rPr>
        <w:t>« </w:t>
      </w:r>
      <w:r w:rsidRPr="00025629">
        <w:rPr>
          <w:b/>
          <w:bCs/>
          <w:lang w:eastAsia="fr-CA"/>
        </w:rPr>
        <w:t>Groupe Starbucks</w:t>
      </w:r>
      <w:r>
        <w:rPr>
          <w:lang w:eastAsia="fr-CA"/>
        </w:rPr>
        <w:t> </w:t>
      </w:r>
      <w:r>
        <w:rPr>
          <w:rFonts w:ascii="ArialMT" w:hAnsi="ArialMT" w:cs="ArialMT"/>
          <w:lang w:eastAsia="fr-CA"/>
        </w:rPr>
        <w:t>»</w:t>
      </w:r>
    </w:p>
    <w:p w:rsidR="00F35447" w:rsidP="00025629" w14:paraId="552C25A1" w14:textId="3777DBC0">
      <w:pPr>
        <w:pStyle w:val="Quote"/>
        <w:rPr>
          <w:lang w:eastAsia="fr-CA"/>
        </w:rPr>
      </w:pPr>
      <w:r>
        <w:rPr>
          <w:lang w:eastAsia="fr-CA"/>
        </w:rPr>
        <w:t>Tous les consommateurs au Québec qui, entre le 30 décembre 2021 et le 7 novembre 2024, ont été facturés pour un substitut non laitier lors de l'achat d'une boisson Starbucks;</w:t>
      </w:r>
    </w:p>
    <w:p w:rsidR="00025629" w:rsidP="00025629" w14:paraId="5460F5AC" w14:textId="27F23A26">
      <w:pPr>
        <w:pStyle w:val="Quote"/>
        <w:rPr>
          <w:rFonts w:ascii="ArialMT" w:hAnsi="ArialMT" w:cs="ArialMT"/>
          <w:lang w:eastAsia="fr-CA"/>
        </w:rPr>
      </w:pPr>
      <w:r>
        <w:rPr>
          <w:rFonts w:ascii="ArialMT" w:hAnsi="ArialMT" w:cs="ArialMT"/>
          <w:lang w:eastAsia="fr-CA"/>
        </w:rPr>
        <w:t>« </w:t>
      </w:r>
      <w:r w:rsidRPr="00025629">
        <w:rPr>
          <w:b/>
          <w:bCs/>
          <w:lang w:eastAsia="fr-CA"/>
        </w:rPr>
        <w:t xml:space="preserve">Groupe </w:t>
      </w:r>
      <w:r>
        <w:rPr>
          <w:b/>
          <w:bCs/>
          <w:lang w:eastAsia="fr-CA"/>
        </w:rPr>
        <w:t>Second Cup</w:t>
      </w:r>
      <w:r>
        <w:rPr>
          <w:lang w:eastAsia="fr-CA"/>
        </w:rPr>
        <w:t> </w:t>
      </w:r>
      <w:r>
        <w:rPr>
          <w:rFonts w:ascii="ArialMT" w:hAnsi="ArialMT" w:cs="ArialMT"/>
          <w:lang w:eastAsia="fr-CA"/>
        </w:rPr>
        <w:t>»</w:t>
      </w:r>
    </w:p>
    <w:p w:rsidR="00025629" w:rsidP="00025629" w14:paraId="51F2E40B" w14:textId="5B00BD8F">
      <w:pPr>
        <w:pStyle w:val="Quote"/>
        <w:rPr>
          <w:lang w:eastAsia="fr-CA"/>
        </w:rPr>
      </w:pPr>
      <w:r>
        <w:rPr>
          <w:lang w:eastAsia="fr-CA"/>
        </w:rPr>
        <w:t>Tous les consommateurs au Québec qui, entre le 30 décembre 2021 et le 27 février 2025 ont été facturés pour un substitut non laitier lors de l'achat d'une boisson Second Cup;</w:t>
      </w:r>
    </w:p>
    <w:p w:rsidR="00025629" w:rsidP="00025629" w14:paraId="38432EE5" w14:textId="11C75144">
      <w:pPr>
        <w:pStyle w:val="Quote"/>
        <w:rPr>
          <w:rFonts w:ascii="ArialMT" w:hAnsi="ArialMT" w:cs="ArialMT"/>
          <w:lang w:eastAsia="fr-CA"/>
        </w:rPr>
      </w:pPr>
      <w:r>
        <w:rPr>
          <w:rFonts w:ascii="ArialMT" w:hAnsi="ArialMT" w:cs="ArialMT"/>
          <w:lang w:eastAsia="fr-CA"/>
        </w:rPr>
        <w:t>« </w:t>
      </w:r>
      <w:r w:rsidRPr="00025629">
        <w:rPr>
          <w:b/>
          <w:bCs/>
          <w:lang w:eastAsia="fr-CA"/>
        </w:rPr>
        <w:t xml:space="preserve">Groupe </w:t>
      </w:r>
      <w:r>
        <w:rPr>
          <w:b/>
          <w:bCs/>
          <w:lang w:eastAsia="fr-CA"/>
        </w:rPr>
        <w:t>Tim Hortons</w:t>
      </w:r>
      <w:r>
        <w:rPr>
          <w:lang w:eastAsia="fr-CA"/>
        </w:rPr>
        <w:t> </w:t>
      </w:r>
      <w:r>
        <w:rPr>
          <w:rFonts w:ascii="ArialMT" w:hAnsi="ArialMT" w:cs="ArialMT"/>
          <w:lang w:eastAsia="fr-CA"/>
        </w:rPr>
        <w:t>»</w:t>
      </w:r>
    </w:p>
    <w:p w:rsidR="00025629" w:rsidRPr="00025629" w:rsidP="00025629" w14:paraId="117F6D74" w14:textId="6F77E546">
      <w:pPr>
        <w:pStyle w:val="Quote"/>
        <w:rPr>
          <w:lang w:eastAsia="fr-CA"/>
        </w:rPr>
      </w:pPr>
      <w:r>
        <w:rPr>
          <w:lang w:eastAsia="fr-CA"/>
        </w:rPr>
        <w:t xml:space="preserve">Tous les consommateurs au Canada qui, entre le 30 décembre 2021 et le 2 janvier 2025 ont été facturés pour un substitut non laitier lors </w:t>
      </w:r>
      <w:r w:rsidRPr="00025629">
        <w:rPr>
          <w:lang w:eastAsia="fr-CA"/>
        </w:rPr>
        <w:t>de l'achat d'une boisson Tim</w:t>
      </w:r>
      <w:r>
        <w:rPr>
          <w:lang w:eastAsia="fr-CA"/>
        </w:rPr>
        <w:t xml:space="preserve"> </w:t>
      </w:r>
      <w:r w:rsidRPr="00025629">
        <w:rPr>
          <w:lang w:eastAsia="fr-CA"/>
        </w:rPr>
        <w:t>Hortons</w:t>
      </w:r>
      <w:r>
        <w:rPr>
          <w:lang w:eastAsia="fr-CA"/>
        </w:rPr>
        <w:t>;</w:t>
      </w:r>
    </w:p>
    <w:p w:rsidR="00A179BB" w:rsidP="00025629" w14:paraId="4AABC183" w14:textId="392DF332">
      <w:pPr>
        <w:pStyle w:val="Paragrdouble"/>
        <w:tabs>
          <w:tab w:val="clear" w:pos="360"/>
        </w:tabs>
        <w:spacing w:line="240" w:lineRule="auto"/>
        <w:rPr>
          <w:lang w:val="fr-CA"/>
        </w:rPr>
      </w:pPr>
      <w:r>
        <w:rPr>
          <w:lang w:val="fr-CA"/>
        </w:rPr>
        <w:t>La demanderesse</w:t>
      </w:r>
      <w:r w:rsidR="007C088A">
        <w:rPr>
          <w:lang w:val="fr-CA"/>
        </w:rPr>
        <w:t xml:space="preserve"> </w:t>
      </w:r>
      <w:r w:rsidR="00F35447">
        <w:rPr>
          <w:lang w:val="fr-CA"/>
        </w:rPr>
        <w:t xml:space="preserve">allègue </w:t>
      </w:r>
      <w:r w:rsidR="007C088A">
        <w:rPr>
          <w:lang w:val="fr-CA"/>
        </w:rPr>
        <w:t>que</w:t>
      </w:r>
      <w:r w:rsidR="00F35447">
        <w:rPr>
          <w:lang w:val="fr-CA"/>
        </w:rPr>
        <w:t xml:space="preserve"> durant la période visée par sa procédure, </w:t>
      </w:r>
      <w:r w:rsidR="00823E36">
        <w:rPr>
          <w:lang w:val="fr-CA"/>
        </w:rPr>
        <w:t xml:space="preserve">les restaurants </w:t>
      </w:r>
      <w:r w:rsidR="00773EE9">
        <w:rPr>
          <w:lang w:val="fr-CA"/>
        </w:rPr>
        <w:t>chargent</w:t>
      </w:r>
      <w:r w:rsidR="00F35447">
        <w:rPr>
          <w:lang w:val="fr-CA"/>
        </w:rPr>
        <w:t xml:space="preserve"> </w:t>
      </w:r>
      <w:r w:rsidR="00773EE9">
        <w:rPr>
          <w:lang w:val="fr-CA"/>
        </w:rPr>
        <w:t>un</w:t>
      </w:r>
      <w:r w:rsidR="00F35447">
        <w:rPr>
          <w:lang w:val="fr-CA"/>
        </w:rPr>
        <w:t xml:space="preserve"> supplément </w:t>
      </w:r>
      <w:r w:rsidR="00773EE9">
        <w:rPr>
          <w:lang w:val="fr-CA"/>
        </w:rPr>
        <w:t xml:space="preserve">de prix </w:t>
      </w:r>
      <w:r w:rsidR="007C088A">
        <w:rPr>
          <w:lang w:val="fr-CA"/>
        </w:rPr>
        <w:t xml:space="preserve">aux consommateurs qui </w:t>
      </w:r>
      <w:r w:rsidR="00652A42">
        <w:rPr>
          <w:lang w:val="fr-CA"/>
        </w:rPr>
        <w:t xml:space="preserve">remplacent </w:t>
      </w:r>
      <w:r w:rsidR="00DA2EAB">
        <w:rPr>
          <w:lang w:val="fr-CA"/>
        </w:rPr>
        <w:t xml:space="preserve">le lait de vache </w:t>
      </w:r>
      <w:r w:rsidR="00FD3121">
        <w:rPr>
          <w:lang w:val="fr-CA"/>
        </w:rPr>
        <w:t xml:space="preserve">dans les breuvages qu’ils achètent </w:t>
      </w:r>
      <w:r w:rsidR="00DA2EAB">
        <w:rPr>
          <w:lang w:val="fr-CA"/>
        </w:rPr>
        <w:t>par des l</w:t>
      </w:r>
      <w:r w:rsidR="00682EB7">
        <w:rPr>
          <w:lang w:val="fr-CA"/>
        </w:rPr>
        <w:t>aits végétaux</w:t>
      </w:r>
      <w:r w:rsidR="00773EE9">
        <w:rPr>
          <w:lang w:val="fr-CA"/>
        </w:rPr>
        <w:t xml:space="preserve"> (</w:t>
      </w:r>
      <w:r w:rsidR="00C400AA">
        <w:rPr>
          <w:lang w:val="fr-CA"/>
        </w:rPr>
        <w:t>comme</w:t>
      </w:r>
      <w:r w:rsidR="00773EE9">
        <w:rPr>
          <w:lang w:val="fr-CA"/>
        </w:rPr>
        <w:t xml:space="preserve"> le lait de soya</w:t>
      </w:r>
      <w:r w:rsidR="00682EB7">
        <w:rPr>
          <w:lang w:val="fr-CA"/>
        </w:rPr>
        <w:t>,</w:t>
      </w:r>
      <w:r w:rsidR="00773EE9">
        <w:rPr>
          <w:lang w:val="fr-CA"/>
        </w:rPr>
        <w:t xml:space="preserve"> d’avoine</w:t>
      </w:r>
      <w:r w:rsidR="00682EB7">
        <w:rPr>
          <w:lang w:val="fr-CA"/>
        </w:rPr>
        <w:t xml:space="preserve">, d’amande </w:t>
      </w:r>
      <w:r w:rsidR="00FE15BB">
        <w:rPr>
          <w:lang w:val="fr-CA"/>
        </w:rPr>
        <w:t>et</w:t>
      </w:r>
      <w:r w:rsidR="00682EB7">
        <w:rPr>
          <w:lang w:val="fr-CA"/>
        </w:rPr>
        <w:t xml:space="preserve"> de coco</w:t>
      </w:r>
      <w:r w:rsidR="00773EE9">
        <w:rPr>
          <w:lang w:val="fr-CA"/>
        </w:rPr>
        <w:t>)</w:t>
      </w:r>
      <w:r w:rsidR="00DA2EAB">
        <w:rPr>
          <w:lang w:val="fr-CA"/>
        </w:rPr>
        <w:t xml:space="preserve">. </w:t>
      </w:r>
      <w:r w:rsidR="00FE15BB">
        <w:rPr>
          <w:lang w:val="fr-CA"/>
        </w:rPr>
        <w:t xml:space="preserve">Selon </w:t>
      </w:r>
      <w:r w:rsidR="00823E36">
        <w:rPr>
          <w:lang w:val="fr-CA"/>
        </w:rPr>
        <w:t>la demanderesse</w:t>
      </w:r>
      <w:r w:rsidR="00FE15BB">
        <w:rPr>
          <w:lang w:val="fr-CA"/>
        </w:rPr>
        <w:t>,</w:t>
      </w:r>
      <w:r w:rsidR="00DA2EAB">
        <w:rPr>
          <w:lang w:val="fr-CA"/>
        </w:rPr>
        <w:t xml:space="preserve"> le supplément de prix </w:t>
      </w:r>
      <w:r w:rsidR="00FE15BB">
        <w:rPr>
          <w:lang w:val="fr-CA"/>
        </w:rPr>
        <w:t xml:space="preserve">exigé </w:t>
      </w:r>
      <w:r w:rsidR="00DA2EAB">
        <w:rPr>
          <w:lang w:val="fr-CA"/>
        </w:rPr>
        <w:t xml:space="preserve">est disproportionné, car </w:t>
      </w:r>
      <w:r w:rsidR="00823E36">
        <w:rPr>
          <w:lang w:val="fr-CA"/>
        </w:rPr>
        <w:t>les</w:t>
      </w:r>
      <w:r w:rsidR="00DA2EAB">
        <w:rPr>
          <w:lang w:val="fr-CA"/>
        </w:rPr>
        <w:t xml:space="preserve"> laits végétaux</w:t>
      </w:r>
      <w:r w:rsidR="00773EE9">
        <w:rPr>
          <w:lang w:val="fr-CA"/>
        </w:rPr>
        <w:t xml:space="preserve"> </w:t>
      </w:r>
      <w:r w:rsidR="00823E36">
        <w:rPr>
          <w:lang w:val="fr-CA"/>
        </w:rPr>
        <w:t xml:space="preserve">coûtent sensiblement la même chose </w:t>
      </w:r>
      <w:r>
        <w:rPr>
          <w:lang w:val="fr-CA"/>
        </w:rPr>
        <w:t xml:space="preserve">que </w:t>
      </w:r>
      <w:r w:rsidR="00823E36">
        <w:rPr>
          <w:lang w:val="fr-CA"/>
        </w:rPr>
        <w:t>le</w:t>
      </w:r>
      <w:r w:rsidR="00F35447">
        <w:rPr>
          <w:lang w:val="fr-CA"/>
        </w:rPr>
        <w:t xml:space="preserve"> lait de vache. </w:t>
      </w:r>
    </w:p>
    <w:p w:rsidR="00A179BB" w:rsidP="00025629" w14:paraId="34369247" w14:textId="02002CF2">
      <w:pPr>
        <w:pStyle w:val="Paragrdouble"/>
        <w:tabs>
          <w:tab w:val="clear" w:pos="360"/>
        </w:tabs>
        <w:spacing w:line="240" w:lineRule="auto"/>
        <w:rPr>
          <w:lang w:val="fr-CA"/>
        </w:rPr>
      </w:pPr>
      <w:r>
        <w:rPr>
          <w:lang w:val="fr-CA"/>
        </w:rPr>
        <w:t xml:space="preserve">Dans sa procédure, la demanderesse soutient que le supplément de prix est </w:t>
      </w:r>
      <w:r w:rsidRPr="00DA2EAB" w:rsidR="00F35447">
        <w:rPr>
          <w:lang w:val="fr-CA"/>
        </w:rPr>
        <w:t xml:space="preserve">lésionnaire </w:t>
      </w:r>
      <w:r w:rsidRPr="00DA2EAB" w:rsidR="007C088A">
        <w:rPr>
          <w:lang w:val="fr-CA"/>
        </w:rPr>
        <w:t xml:space="preserve">au sens de </w:t>
      </w:r>
      <w:r w:rsidRPr="00DA2EAB" w:rsidR="00475760">
        <w:rPr>
          <w:lang w:val="fr-CA"/>
        </w:rPr>
        <w:t xml:space="preserve">l’article 8 de </w:t>
      </w:r>
      <w:r w:rsidRPr="00DA2EAB" w:rsidR="007C088A">
        <w:rPr>
          <w:lang w:val="fr-CA"/>
        </w:rPr>
        <w:t xml:space="preserve">la </w:t>
      </w:r>
      <w:r w:rsidRPr="00DA2EAB" w:rsidR="007C088A">
        <w:rPr>
          <w:i/>
          <w:iCs/>
          <w:lang w:val="fr-CA"/>
        </w:rPr>
        <w:t>Loi sur la protection du consommateur</w:t>
      </w:r>
      <w:r>
        <w:rPr>
          <w:rStyle w:val="FootnoteReference"/>
          <w:lang w:val="fr-CA"/>
        </w:rPr>
        <w:footnoteReference w:id="2"/>
      </w:r>
      <w:r w:rsidRPr="00DA2EAB" w:rsidR="00773EE9">
        <w:rPr>
          <w:lang w:val="fr-CA"/>
        </w:rPr>
        <w:t xml:space="preserve"> et </w:t>
      </w:r>
      <w:r>
        <w:rPr>
          <w:lang w:val="fr-CA"/>
        </w:rPr>
        <w:t>qu’il est facturé en vertu d’une</w:t>
      </w:r>
      <w:r w:rsidRPr="00DA2EAB" w:rsidR="00773EE9">
        <w:rPr>
          <w:lang w:val="fr-CA"/>
        </w:rPr>
        <w:t xml:space="preserve"> clause abusive au sens de l’article 1437 C.c.Q.</w:t>
      </w:r>
      <w:r>
        <w:rPr>
          <w:rStyle w:val="FootnoteReference"/>
          <w:lang w:val="fr-CA"/>
        </w:rPr>
        <w:footnoteReference w:id="3"/>
      </w:r>
      <w:r w:rsidRPr="00DA2EAB" w:rsidR="00AB7E44">
        <w:rPr>
          <w:lang w:val="fr-CA"/>
        </w:rPr>
        <w:t xml:space="preserve"> </w:t>
      </w:r>
      <w:r w:rsidR="007D0AA2">
        <w:rPr>
          <w:lang w:val="fr-CA"/>
        </w:rPr>
        <w:t>À l’audience</w:t>
      </w:r>
      <w:r>
        <w:rPr>
          <w:lang w:val="fr-CA"/>
        </w:rPr>
        <w:t>, elle soutient que les défenderesses (qui n’ont pas contracté avec elle), engagent leur responsabilité civile extracontractuelle en incitant leurs franchisés à facturer des prix lésionnaires et abusifs.</w:t>
      </w:r>
    </w:p>
    <w:p w:rsidR="00F35447" w:rsidRPr="00DA2EAB" w:rsidP="00025629" w14:paraId="790BDDD5" w14:textId="29BC6712">
      <w:pPr>
        <w:pStyle w:val="Paragrdouble"/>
        <w:tabs>
          <w:tab w:val="clear" w:pos="360"/>
        </w:tabs>
        <w:spacing w:line="240" w:lineRule="auto"/>
        <w:rPr>
          <w:lang w:val="fr-CA"/>
        </w:rPr>
      </w:pPr>
      <w:r>
        <w:rPr>
          <w:lang w:val="fr-CA"/>
        </w:rPr>
        <w:t xml:space="preserve">La demanderesse </w:t>
      </w:r>
      <w:r w:rsidRPr="00DA2EAB">
        <w:rPr>
          <w:lang w:val="fr-CA"/>
        </w:rPr>
        <w:t>veut être autorisée à exercer une action collective en dommages compensatoires</w:t>
      </w:r>
      <w:r w:rsidR="00025629">
        <w:rPr>
          <w:lang w:val="fr-CA"/>
        </w:rPr>
        <w:t xml:space="preserve"> (ou, subsidiairement, en réduction de prix)</w:t>
      </w:r>
      <w:r w:rsidRPr="00DA2EAB">
        <w:rPr>
          <w:lang w:val="fr-CA"/>
        </w:rPr>
        <w:t xml:space="preserve"> et en dommages punitifs contre les défenderesses.</w:t>
      </w:r>
    </w:p>
    <w:p w:rsidR="007C088A" w:rsidRPr="0059390B" w:rsidP="00025629" w14:paraId="761098D7" w14:textId="313FEEAC">
      <w:pPr>
        <w:pStyle w:val="Paragrdouble"/>
        <w:tabs>
          <w:tab w:val="clear" w:pos="360"/>
        </w:tabs>
        <w:spacing w:line="240" w:lineRule="auto"/>
        <w:rPr>
          <w:lang w:val="fr-CA"/>
        </w:rPr>
      </w:pPr>
      <w:r>
        <w:rPr>
          <w:lang w:val="fr-CA"/>
        </w:rPr>
        <w:t xml:space="preserve">Pour les motifs qui suivent, </w:t>
      </w:r>
      <w:r w:rsidR="00AB7E44">
        <w:rPr>
          <w:lang w:val="fr-CA"/>
        </w:rPr>
        <w:t>le Tribunal conclut que les critères d’autorisation prévus à l’article 575 C.p.c.</w:t>
      </w:r>
      <w:r>
        <w:rPr>
          <w:rStyle w:val="FootnoteReference"/>
          <w:lang w:val="fr-CA"/>
        </w:rPr>
        <w:footnoteReference w:id="4"/>
      </w:r>
      <w:r w:rsidR="00AB7E44">
        <w:rPr>
          <w:lang w:val="fr-CA"/>
        </w:rPr>
        <w:t xml:space="preserve"> sont satisfaits </w:t>
      </w:r>
      <w:r w:rsidR="007D0AA2">
        <w:rPr>
          <w:lang w:val="fr-CA"/>
        </w:rPr>
        <w:t>en ce qui concerne la réclamation en dommages</w:t>
      </w:r>
      <w:r w:rsidR="00652A42">
        <w:rPr>
          <w:lang w:val="fr-CA"/>
        </w:rPr>
        <w:t xml:space="preserve"> compensatoires</w:t>
      </w:r>
      <w:r w:rsidR="007D0AA2">
        <w:rPr>
          <w:lang w:val="fr-CA"/>
        </w:rPr>
        <w:t xml:space="preserve"> fondée sur les règles de la responsabilité civile extracontractuelle </w:t>
      </w:r>
      <w:r w:rsidR="00AB7E44">
        <w:rPr>
          <w:lang w:val="fr-CA"/>
        </w:rPr>
        <w:t>et autorise</w:t>
      </w:r>
      <w:r w:rsidR="00C56A95">
        <w:rPr>
          <w:lang w:val="fr-CA"/>
        </w:rPr>
        <w:t xml:space="preserve"> </w:t>
      </w:r>
      <w:r w:rsidR="00AB7E44">
        <w:rPr>
          <w:lang w:val="fr-CA"/>
        </w:rPr>
        <w:t>l’exercice d’une action collective</w:t>
      </w:r>
      <w:r w:rsidRPr="00F35447" w:rsidR="00F35447">
        <w:rPr>
          <w:lang w:val="fr-CA"/>
        </w:rPr>
        <w:t xml:space="preserve"> </w:t>
      </w:r>
      <w:r w:rsidRPr="0059390B" w:rsidR="00F35447">
        <w:rPr>
          <w:lang w:val="fr-CA"/>
        </w:rPr>
        <w:t xml:space="preserve">contre les défenderesses </w:t>
      </w:r>
      <w:r w:rsidRPr="0059390B" w:rsidR="00773EE9">
        <w:rPr>
          <w:lang w:val="fr-CA"/>
        </w:rPr>
        <w:t>Starbucks Coffee Canada inc., Foodtastic Inc. et The TDL Group Corp</w:t>
      </w:r>
      <w:r w:rsidR="00652A42">
        <w:rPr>
          <w:lang w:val="fr-CA"/>
        </w:rPr>
        <w:t xml:space="preserve"> sur cette base uniquement</w:t>
      </w:r>
      <w:r w:rsidRPr="0059390B">
        <w:rPr>
          <w:lang w:val="fr-CA"/>
        </w:rPr>
        <w:t>.</w:t>
      </w:r>
    </w:p>
    <w:p w:rsidR="00AF1575" w:rsidRPr="00C46DAC" w:rsidP="001D68CB" w14:paraId="56CE7F3B" w14:textId="549FD6BE">
      <w:pPr>
        <w:pStyle w:val="Heading1"/>
        <w:rPr>
          <w:lang w:val="fr-CA"/>
        </w:rPr>
      </w:pPr>
      <w:bookmarkStart w:id="1" w:name="_Toc430945623"/>
      <w:bookmarkStart w:id="2" w:name="_Toc58250313"/>
      <w:r w:rsidRPr="00C46DAC">
        <w:rPr>
          <w:lang w:val="fr-CA"/>
        </w:rPr>
        <w:t>ANALYS</w:t>
      </w:r>
      <w:bookmarkEnd w:id="1"/>
      <w:bookmarkEnd w:id="2"/>
      <w:r w:rsidR="007C088A">
        <w:rPr>
          <w:lang w:val="fr-CA"/>
        </w:rPr>
        <w:t>E</w:t>
      </w:r>
    </w:p>
    <w:p w:rsidR="00B35B47" w:rsidP="00B62598" w14:paraId="6BF0405E" w14:textId="450D67FA">
      <w:pPr>
        <w:pStyle w:val="Heading2"/>
        <w:rPr>
          <w:lang w:val="fr-CA"/>
        </w:rPr>
      </w:pPr>
      <w:r>
        <w:rPr>
          <w:lang w:val="fr-CA"/>
        </w:rPr>
        <w:t>Principes applicables</w:t>
      </w:r>
      <w:r w:rsidR="00FE15BB">
        <w:rPr>
          <w:lang w:val="fr-CA"/>
        </w:rPr>
        <w:t xml:space="preserve"> </w:t>
      </w:r>
    </w:p>
    <w:p w:rsidR="00A8362E" w:rsidP="00A8362E" w14:paraId="63366AEA" w14:textId="29F4133B">
      <w:pPr>
        <w:pStyle w:val="Paragrdouble"/>
        <w:tabs>
          <w:tab w:val="clear" w:pos="360"/>
        </w:tabs>
        <w:spacing w:line="240" w:lineRule="auto"/>
        <w:rPr>
          <w:lang w:val="fr-CA"/>
        </w:rPr>
      </w:pPr>
      <w:r>
        <w:rPr>
          <w:lang w:val="fr-CA"/>
        </w:rPr>
        <w:t>L</w:t>
      </w:r>
      <w:r>
        <w:rPr>
          <w:lang w:val="fr-CA"/>
        </w:rPr>
        <w:t>’article 575 C.p.c.</w:t>
      </w:r>
      <w:r>
        <w:rPr>
          <w:lang w:val="fr-CA"/>
        </w:rPr>
        <w:t xml:space="preserve"> régit l’autorisation de l’action collective</w:t>
      </w:r>
      <w:r>
        <w:rPr>
          <w:lang w:val="fr-CA"/>
        </w:rPr>
        <w:t xml:space="preserve">. </w:t>
      </w:r>
      <w:r>
        <w:rPr>
          <w:lang w:val="fr-CA"/>
        </w:rPr>
        <w:t xml:space="preserve">Il </w:t>
      </w:r>
      <w:r>
        <w:rPr>
          <w:lang w:val="fr-CA"/>
        </w:rPr>
        <w:t>se lit comme suit :</w:t>
      </w:r>
    </w:p>
    <w:p w:rsidR="00A8362E" w:rsidRPr="00A8362E" w:rsidP="008D27AA" w14:paraId="4AC5B3E4" w14:textId="1F00984E">
      <w:pPr>
        <w:pStyle w:val="Quote"/>
      </w:pPr>
      <w:r w:rsidRPr="00CD017D">
        <w:rPr>
          <w:b/>
          <w:bCs/>
        </w:rPr>
        <w:t>575.</w:t>
      </w:r>
      <w:r>
        <w:tab/>
      </w:r>
      <w:r w:rsidRPr="00A8362E">
        <w:t xml:space="preserve">Le tribunal autorise l'exercice de l'action collective et attribue le statut de représentant au membre qu'il </w:t>
      </w:r>
      <w:r w:rsidRPr="00CD017D">
        <w:t>désigne</w:t>
      </w:r>
      <w:r w:rsidRPr="00A8362E">
        <w:t xml:space="preserve"> s'il est d'avis que :</w:t>
      </w:r>
    </w:p>
    <w:p w:rsidR="00A8362E" w:rsidRPr="00A8362E" w:rsidP="008D27AA" w14:paraId="2C02BE81" w14:textId="362039FB">
      <w:pPr>
        <w:pStyle w:val="Quote"/>
      </w:pPr>
      <w:r>
        <w:t>1</w:t>
      </w:r>
      <w:r w:rsidRPr="00CD017D" w:rsidR="00CD017D">
        <w:rPr>
          <w:vertAlign w:val="superscript"/>
        </w:rPr>
        <w:t>o</w:t>
      </w:r>
      <w:r w:rsidR="00F35447">
        <w:t xml:space="preserve">  </w:t>
      </w:r>
      <w:r w:rsidRPr="00A8362E">
        <w:t>les demandes des membres soulèvent des questions de droit ou de fait identiques, similaires ou connexes;</w:t>
      </w:r>
    </w:p>
    <w:p w:rsidR="00A8362E" w:rsidRPr="00A8362E" w:rsidP="008D27AA" w14:paraId="0F81D873" w14:textId="4BA5C383">
      <w:pPr>
        <w:pStyle w:val="Quote"/>
      </w:pPr>
      <w:r w:rsidRPr="00A8362E">
        <w:t>2</w:t>
      </w:r>
      <w:r w:rsidRPr="00CD017D" w:rsidR="00CD017D">
        <w:rPr>
          <w:vertAlign w:val="superscript"/>
        </w:rPr>
        <w:t>o</w:t>
      </w:r>
      <w:r w:rsidR="00F35447">
        <w:t xml:space="preserve">  </w:t>
      </w:r>
      <w:r w:rsidRPr="00A8362E">
        <w:t>les faits allégués paraissent justifier les conclusions recherchées;</w:t>
      </w:r>
    </w:p>
    <w:p w:rsidR="00A8362E" w:rsidRPr="00A8362E" w:rsidP="008D27AA" w14:paraId="19F1B09A" w14:textId="0661CDE2">
      <w:pPr>
        <w:pStyle w:val="Quote"/>
      </w:pPr>
      <w:r w:rsidRPr="00A8362E">
        <w:t>3</w:t>
      </w:r>
      <w:r w:rsidRPr="00CD017D" w:rsidR="00CD017D">
        <w:rPr>
          <w:vertAlign w:val="superscript"/>
        </w:rPr>
        <w:t>o</w:t>
      </w:r>
      <w:r w:rsidR="00F35447">
        <w:t xml:space="preserve">  </w:t>
      </w:r>
      <w:r w:rsidRPr="00A8362E">
        <w:t>la composition du groupe rend difficile ou peu pratique l'application des règles sur le mandat d'ester en justice pour le compte d'autrui ou sur la jonction d'instance;</w:t>
      </w:r>
    </w:p>
    <w:p w:rsidR="00A8362E" w:rsidP="008D27AA" w14:paraId="2EB56CA8" w14:textId="30E8673C">
      <w:pPr>
        <w:pStyle w:val="Quote"/>
      </w:pPr>
      <w:r w:rsidRPr="00A8362E">
        <w:t>4</w:t>
      </w:r>
      <w:r w:rsidRPr="00CD017D" w:rsidR="00CD017D">
        <w:rPr>
          <w:vertAlign w:val="superscript"/>
        </w:rPr>
        <w:t>o</w:t>
      </w:r>
      <w:r w:rsidR="00F35447">
        <w:t xml:space="preserve">  </w:t>
      </w:r>
      <w:r w:rsidRPr="00A8362E">
        <w:t>le membre auquel il entend attribuer le statut de représentant est en mesure d'assurer une représentation adéquate des membres.</w:t>
      </w:r>
      <w:r>
        <w:t xml:space="preserve"> </w:t>
      </w:r>
    </w:p>
    <w:p w:rsidR="00773EE9" w:rsidRPr="00773EE9" w:rsidP="00D510CE" w14:paraId="795628E1" w14:textId="68453A59">
      <w:pPr>
        <w:pStyle w:val="Paragrdouble"/>
        <w:tabs>
          <w:tab w:val="clear" w:pos="360"/>
        </w:tabs>
        <w:spacing w:line="240" w:lineRule="auto"/>
        <w:rPr>
          <w:lang w:val="fr-CA"/>
        </w:rPr>
      </w:pPr>
      <w:r w:rsidRPr="00773EE9">
        <w:rPr>
          <w:lang w:val="fr-CA"/>
        </w:rPr>
        <w:t>L</w:t>
      </w:r>
      <w:r w:rsidRPr="00773EE9" w:rsidR="00CD017D">
        <w:rPr>
          <w:lang w:val="fr-CA"/>
        </w:rPr>
        <w:t>’étape de l’autorisation en est une de filtrage</w:t>
      </w:r>
      <w:r w:rsidRPr="00773EE9" w:rsidR="009920C1">
        <w:rPr>
          <w:lang w:val="fr-CA"/>
        </w:rPr>
        <w:t xml:space="preserve">. Elle sert à </w:t>
      </w:r>
      <w:r w:rsidRPr="00773EE9" w:rsidR="00CD017D">
        <w:rPr>
          <w:lang w:val="fr-CA"/>
        </w:rPr>
        <w:t>éca</w:t>
      </w:r>
      <w:r w:rsidRPr="00773EE9" w:rsidR="0034592B">
        <w:rPr>
          <w:lang w:val="fr-CA"/>
        </w:rPr>
        <w:t>r</w:t>
      </w:r>
      <w:r w:rsidRPr="00773EE9" w:rsidR="00CD017D">
        <w:rPr>
          <w:lang w:val="fr-CA"/>
        </w:rPr>
        <w:t xml:space="preserve">ter </w:t>
      </w:r>
      <w:r w:rsidRPr="00773EE9" w:rsidR="0034592B">
        <w:rPr>
          <w:lang w:val="fr-CA"/>
        </w:rPr>
        <w:t>les demandes frivoles et autoriser celles qui satisfont aux exigences prévues à l’article 575 C.p.c.</w:t>
      </w:r>
      <w:r>
        <w:rPr>
          <w:rStyle w:val="FootnoteReference"/>
          <w:lang w:val="fr-CA"/>
        </w:rPr>
        <w:footnoteReference w:id="5"/>
      </w:r>
      <w:r w:rsidRPr="00773EE9" w:rsidR="008F38B5">
        <w:rPr>
          <w:lang w:val="fr-CA"/>
        </w:rPr>
        <w:t xml:space="preserve"> </w:t>
      </w:r>
      <w:r w:rsidRPr="00773EE9" w:rsidR="001D5E60">
        <w:rPr>
          <w:lang w:val="fr-CA"/>
        </w:rPr>
        <w:t xml:space="preserve">À ce stade, le </w:t>
      </w:r>
      <w:r w:rsidRPr="00773EE9" w:rsidR="008F38B5">
        <w:rPr>
          <w:lang w:val="fr-CA"/>
        </w:rPr>
        <w:t xml:space="preserve">fardeau </w:t>
      </w:r>
      <w:r w:rsidRPr="00773EE9" w:rsidR="00FE6257">
        <w:rPr>
          <w:lang w:val="fr-CA"/>
        </w:rPr>
        <w:t xml:space="preserve">de la demanderesse </w:t>
      </w:r>
      <w:r w:rsidRPr="00773EE9" w:rsidR="008F38B5">
        <w:rPr>
          <w:lang w:val="fr-CA"/>
        </w:rPr>
        <w:t>en est un de démonstration et non de preuve</w:t>
      </w:r>
      <w:r>
        <w:rPr>
          <w:rStyle w:val="FootnoteReference"/>
          <w:lang w:val="fr-CA"/>
        </w:rPr>
        <w:footnoteReference w:id="6"/>
      </w:r>
      <w:r w:rsidRPr="00773EE9" w:rsidR="008F38B5">
        <w:rPr>
          <w:lang w:val="fr-CA"/>
        </w:rPr>
        <w:t xml:space="preserve">. Le </w:t>
      </w:r>
      <w:r w:rsidRPr="00773EE9" w:rsidR="001D5E60">
        <w:rPr>
          <w:lang w:val="fr-CA"/>
        </w:rPr>
        <w:t>Tribunal ne fait que trancher une question procédurale, en ce sens qu’il doit limiter son analyse aux critères du C.p.c. sans se pencher sur le fond du litige</w:t>
      </w:r>
      <w:r>
        <w:rPr>
          <w:rStyle w:val="FootnoteReference"/>
          <w:lang w:val="fr-CA"/>
        </w:rPr>
        <w:footnoteReference w:id="7"/>
      </w:r>
      <w:r w:rsidRPr="00773EE9" w:rsidR="001D5E60">
        <w:rPr>
          <w:lang w:val="fr-CA"/>
        </w:rPr>
        <w:t xml:space="preserve">. </w:t>
      </w:r>
    </w:p>
    <w:p w:rsidR="00A8362E" w:rsidP="00A8362E" w14:paraId="0BB93B03" w14:textId="5408EB3E">
      <w:pPr>
        <w:pStyle w:val="Paragrdouble"/>
        <w:tabs>
          <w:tab w:val="clear" w:pos="360"/>
        </w:tabs>
        <w:spacing w:line="240" w:lineRule="auto"/>
        <w:rPr>
          <w:lang w:val="fr-CA"/>
        </w:rPr>
      </w:pPr>
      <w:r>
        <w:rPr>
          <w:lang w:val="fr-CA"/>
        </w:rPr>
        <w:t>L</w:t>
      </w:r>
      <w:r w:rsidR="001D5E60">
        <w:rPr>
          <w:lang w:val="fr-CA"/>
        </w:rPr>
        <w:t xml:space="preserve">es critères d’autorisation doivent recevoir une interprétation large et libérale, afin </w:t>
      </w:r>
      <w:r w:rsidR="00DA2EAB">
        <w:rPr>
          <w:lang w:val="fr-CA"/>
        </w:rPr>
        <w:t>de favoriser l’</w:t>
      </w:r>
      <w:r w:rsidR="00FE15BB">
        <w:rPr>
          <w:lang w:val="fr-CA"/>
        </w:rPr>
        <w:t>exercice de l’</w:t>
      </w:r>
      <w:r w:rsidR="00DA2EAB">
        <w:rPr>
          <w:lang w:val="fr-CA"/>
        </w:rPr>
        <w:t xml:space="preserve">action collective et </w:t>
      </w:r>
      <w:r w:rsidR="00FE15BB">
        <w:rPr>
          <w:lang w:val="fr-CA"/>
        </w:rPr>
        <w:t>l’atteinte d</w:t>
      </w:r>
      <w:r w:rsidR="00DA2EAB">
        <w:rPr>
          <w:lang w:val="fr-CA"/>
        </w:rPr>
        <w:t xml:space="preserve">es </w:t>
      </w:r>
      <w:r w:rsidR="00ED0EE2">
        <w:rPr>
          <w:lang w:val="fr-CA"/>
        </w:rPr>
        <w:t xml:space="preserve">objectifs sociaux de </w:t>
      </w:r>
      <w:r w:rsidR="00DA2EAB">
        <w:rPr>
          <w:lang w:val="fr-CA"/>
        </w:rPr>
        <w:t>ce moyen de procédure</w:t>
      </w:r>
      <w:r>
        <w:rPr>
          <w:lang w:val="fr-CA"/>
        </w:rPr>
        <w:t xml:space="preserve"> (soit</w:t>
      </w:r>
      <w:r w:rsidR="00DA2EAB">
        <w:rPr>
          <w:lang w:val="fr-CA"/>
        </w:rPr>
        <w:t xml:space="preserve"> d’</w:t>
      </w:r>
      <w:r w:rsidR="00ED0EE2">
        <w:rPr>
          <w:lang w:val="fr-CA"/>
        </w:rPr>
        <w:t xml:space="preserve">indemniser les victimes, </w:t>
      </w:r>
      <w:r w:rsidR="00DA2EAB">
        <w:rPr>
          <w:lang w:val="fr-CA"/>
        </w:rPr>
        <w:t xml:space="preserve">de </w:t>
      </w:r>
      <w:r w:rsidR="00ED0EE2">
        <w:rPr>
          <w:lang w:val="fr-CA"/>
        </w:rPr>
        <w:t>faciliter l’accès à la justice,</w:t>
      </w:r>
      <w:r w:rsidR="00DA2EAB">
        <w:rPr>
          <w:lang w:val="fr-CA"/>
        </w:rPr>
        <w:t xml:space="preserve"> de</w:t>
      </w:r>
      <w:r w:rsidR="00ED0EE2">
        <w:rPr>
          <w:lang w:val="fr-CA"/>
        </w:rPr>
        <w:t xml:space="preserve"> modifier les comportements répréhensibles et </w:t>
      </w:r>
      <w:r w:rsidR="00DA2EAB">
        <w:rPr>
          <w:lang w:val="fr-CA"/>
        </w:rPr>
        <w:t xml:space="preserve">de </w:t>
      </w:r>
      <w:r w:rsidR="00ED0EE2">
        <w:rPr>
          <w:lang w:val="fr-CA"/>
        </w:rPr>
        <w:t>préserver les ressources judiciaires limitées</w:t>
      </w:r>
      <w:r>
        <w:rPr>
          <w:lang w:val="fr-CA"/>
        </w:rPr>
        <w:t>)</w:t>
      </w:r>
      <w:r>
        <w:rPr>
          <w:rStyle w:val="FootnoteReference"/>
          <w:lang w:val="fr-CA"/>
        </w:rPr>
        <w:footnoteReference w:id="8"/>
      </w:r>
      <w:r w:rsidR="001D5E60">
        <w:rPr>
          <w:lang w:val="fr-CA"/>
        </w:rPr>
        <w:t>.</w:t>
      </w:r>
      <w:r w:rsidR="00962CDD">
        <w:rPr>
          <w:lang w:val="fr-CA"/>
        </w:rPr>
        <w:t xml:space="preserve"> T</w:t>
      </w:r>
      <w:r w:rsidRPr="00962CDD" w:rsidR="00962CDD">
        <w:rPr>
          <w:lang w:val="fr-CA"/>
        </w:rPr>
        <w:t>out doute doit profiter à celui qui demande l’autorisation d’exercer une action collective</w:t>
      </w:r>
      <w:r>
        <w:rPr>
          <w:rStyle w:val="FootnoteReference"/>
          <w:lang w:val="fr-CA"/>
        </w:rPr>
        <w:footnoteReference w:id="9"/>
      </w:r>
      <w:r w:rsidR="00962CDD">
        <w:rPr>
          <w:lang w:val="fr-CA"/>
        </w:rPr>
        <w:t>.</w:t>
      </w:r>
    </w:p>
    <w:p w:rsidR="00823E36" w:rsidP="00FF5C7A" w14:paraId="3D68C7FD" w14:textId="0521AC3C">
      <w:pPr>
        <w:pStyle w:val="Paragrdouble"/>
        <w:tabs>
          <w:tab w:val="clear" w:pos="360"/>
        </w:tabs>
        <w:spacing w:line="240" w:lineRule="auto"/>
        <w:rPr>
          <w:lang w:val="fr-CA"/>
        </w:rPr>
      </w:pPr>
      <w:r w:rsidRPr="00ED0EE2">
        <w:rPr>
          <w:lang w:val="fr-CA"/>
        </w:rPr>
        <w:t xml:space="preserve">Dans le présent dossier, </w:t>
      </w:r>
      <w:r w:rsidRPr="00ED0EE2" w:rsidR="009920C1">
        <w:rPr>
          <w:lang w:val="fr-CA"/>
        </w:rPr>
        <w:t xml:space="preserve">les défenderesses ne contestent pas que </w:t>
      </w:r>
      <w:r w:rsidRPr="00ED0EE2" w:rsidR="008E0450">
        <w:rPr>
          <w:lang w:val="fr-CA"/>
        </w:rPr>
        <w:t xml:space="preserve">les exigences prévues aux paragraphes 1, 3 et 4 de l’article 575 C.p.c. sont satisfaites. </w:t>
      </w:r>
      <w:r>
        <w:rPr>
          <w:lang w:val="fr-CA"/>
        </w:rPr>
        <w:t xml:space="preserve">Le Tribunal constate, en effet, que le recours proposé soulève plusieurs questions identiques, </w:t>
      </w:r>
      <w:r>
        <w:rPr>
          <w:lang w:val="fr-CA"/>
        </w:rPr>
        <w:t>similaires ou connexes, qui sont identifiées dans les conclusions du présent jugement. De plus, le groupe est vaste et il serait difficile, voire impossible d’appliquer les règles du mandat ou de la jonction d’instances. Par ailleurs, il n’y a aucune raison de croire que la demanderesse ne serait pas en mesure d’assurer une représentation adéquate des membres putatifs du groupe.</w:t>
      </w:r>
    </w:p>
    <w:p w:rsidR="009920C1" w:rsidRPr="00ED0EE2" w:rsidP="00FF5C7A" w14:paraId="5643A5FE" w14:textId="4BB7EBE6">
      <w:pPr>
        <w:pStyle w:val="Paragrdouble"/>
        <w:tabs>
          <w:tab w:val="clear" w:pos="360"/>
        </w:tabs>
        <w:spacing w:line="240" w:lineRule="auto"/>
        <w:rPr>
          <w:lang w:val="fr-CA"/>
        </w:rPr>
      </w:pPr>
      <w:r>
        <w:rPr>
          <w:lang w:val="fr-CA"/>
        </w:rPr>
        <w:t>Il reste donc à déterminer si les faits allégués paraissent justifier les conclusions recherchées</w:t>
      </w:r>
      <w:r w:rsidR="007D0AA2">
        <w:rPr>
          <w:lang w:val="fr-CA"/>
        </w:rPr>
        <w:t>, ce que contestent les défenderesses</w:t>
      </w:r>
      <w:r>
        <w:rPr>
          <w:lang w:val="fr-CA"/>
        </w:rPr>
        <w:t xml:space="preserve">. </w:t>
      </w:r>
    </w:p>
    <w:p w:rsidR="00CD4F89" w:rsidP="00CD4F89" w14:paraId="1079D1A5" w14:textId="038D5579">
      <w:pPr>
        <w:pStyle w:val="Heading2"/>
        <w:rPr>
          <w:lang w:val="fr-CA"/>
        </w:rPr>
      </w:pPr>
      <w:r>
        <w:rPr>
          <w:lang w:val="fr-CA"/>
        </w:rPr>
        <w:t>A</w:t>
      </w:r>
      <w:r>
        <w:rPr>
          <w:lang w:val="fr-CA"/>
        </w:rPr>
        <w:t>pparence de droit</w:t>
      </w:r>
    </w:p>
    <w:p w:rsidR="008F38B5" w:rsidP="00A8362E" w14:paraId="576501B9" w14:textId="7FD137BA">
      <w:pPr>
        <w:pStyle w:val="Paragrdouble"/>
        <w:tabs>
          <w:tab w:val="clear" w:pos="360"/>
        </w:tabs>
        <w:spacing w:line="240" w:lineRule="auto"/>
        <w:rPr>
          <w:lang w:val="fr-CA"/>
        </w:rPr>
      </w:pPr>
      <w:r>
        <w:rPr>
          <w:lang w:val="fr-CA"/>
        </w:rPr>
        <w:t>Le critère de l’</w:t>
      </w:r>
      <w:r w:rsidR="008E0450">
        <w:rPr>
          <w:lang w:val="fr-CA"/>
        </w:rPr>
        <w:t>apparence de droit est peu exigeant. Le Tribunal doit être satisfait que la demanderesse met de l’avant une « cause défendable eu égard aux faits et au droit applicable »</w:t>
      </w:r>
      <w:r>
        <w:rPr>
          <w:rStyle w:val="FootnoteReference"/>
          <w:lang w:val="fr-CA"/>
        </w:rPr>
        <w:footnoteReference w:id="10"/>
      </w:r>
      <w:r w:rsidR="008E0450">
        <w:rPr>
          <w:lang w:val="fr-CA"/>
        </w:rPr>
        <w:t xml:space="preserve">. Seules les demandes </w:t>
      </w:r>
      <w:r w:rsidRPr="008E0450" w:rsidR="008E0450">
        <w:rPr>
          <w:lang w:val="fr-CA"/>
        </w:rPr>
        <w:t>« frivoles », « manifestement mal fondées » ou « insoutenables »</w:t>
      </w:r>
      <w:r w:rsidR="008E0450">
        <w:rPr>
          <w:lang w:val="fr-CA"/>
        </w:rPr>
        <w:t xml:space="preserve"> doivent être écartées à ce stade</w:t>
      </w:r>
      <w:r>
        <w:rPr>
          <w:rStyle w:val="FootnoteReference"/>
          <w:lang w:val="fr-CA"/>
        </w:rPr>
        <w:footnoteReference w:id="11"/>
      </w:r>
      <w:r w:rsidR="008E0450">
        <w:rPr>
          <w:lang w:val="fr-CA"/>
        </w:rPr>
        <w:t>.</w:t>
      </w:r>
      <w:r w:rsidR="00CD4F89">
        <w:rPr>
          <w:lang w:val="fr-CA"/>
        </w:rPr>
        <w:t xml:space="preserve"> </w:t>
      </w:r>
      <w:r w:rsidR="00507F7E">
        <w:rPr>
          <w:lang w:val="fr-CA"/>
        </w:rPr>
        <w:t>Il suffit pour la partie</w:t>
      </w:r>
      <w:r w:rsidR="00773EE9">
        <w:rPr>
          <w:lang w:val="fr-CA"/>
        </w:rPr>
        <w:t xml:space="preserve"> demanderesse </w:t>
      </w:r>
      <w:r w:rsidR="00507F7E">
        <w:rPr>
          <w:lang w:val="fr-CA"/>
        </w:rPr>
        <w:t xml:space="preserve">d’établir </w:t>
      </w:r>
      <w:r w:rsidRPr="00CD4F89" w:rsidR="00CD4F89">
        <w:rPr>
          <w:lang w:val="fr-CA"/>
        </w:rPr>
        <w:t xml:space="preserve">une simple </w:t>
      </w:r>
      <w:r w:rsidR="00CD4F89">
        <w:rPr>
          <w:lang w:val="fr-CA"/>
        </w:rPr>
        <w:t>« </w:t>
      </w:r>
      <w:r w:rsidRPr="00CD4F89" w:rsidR="00CD4F89">
        <w:rPr>
          <w:lang w:val="fr-CA"/>
        </w:rPr>
        <w:t>possibilité</w:t>
      </w:r>
      <w:r w:rsidR="00CD4F89">
        <w:rPr>
          <w:lang w:val="fr-CA"/>
        </w:rPr>
        <w:t> »</w:t>
      </w:r>
      <w:r w:rsidRPr="00CD4F89" w:rsidR="00CD4F89">
        <w:rPr>
          <w:lang w:val="fr-CA"/>
        </w:rPr>
        <w:t xml:space="preserve"> d’avoir gain de cause sur le fond</w:t>
      </w:r>
      <w:r>
        <w:rPr>
          <w:lang w:val="fr-CA"/>
        </w:rPr>
        <w:t xml:space="preserve">, sans </w:t>
      </w:r>
      <w:r w:rsidR="00773EE9">
        <w:rPr>
          <w:lang w:val="fr-CA"/>
        </w:rPr>
        <w:t xml:space="preserve">qu’il ne soit nécessaire de </w:t>
      </w:r>
      <w:r w:rsidR="00CD4F89">
        <w:rPr>
          <w:lang w:val="fr-CA"/>
        </w:rPr>
        <w:t>démontrer que cette possibilité est réaliste ou raisonnable</w:t>
      </w:r>
      <w:r>
        <w:rPr>
          <w:rStyle w:val="FootnoteReference"/>
          <w:lang w:val="fr-CA"/>
        </w:rPr>
        <w:footnoteReference w:id="12"/>
      </w:r>
      <w:r w:rsidR="00CD4F89">
        <w:rPr>
          <w:lang w:val="fr-CA"/>
        </w:rPr>
        <w:t xml:space="preserve">. </w:t>
      </w:r>
    </w:p>
    <w:p w:rsidR="00823E36" w:rsidP="00A8362E" w14:paraId="0F12DC96" w14:textId="32BEC3D7">
      <w:pPr>
        <w:pStyle w:val="Paragrdouble"/>
        <w:tabs>
          <w:tab w:val="clear" w:pos="360"/>
        </w:tabs>
        <w:spacing w:line="240" w:lineRule="auto"/>
        <w:rPr>
          <w:lang w:val="fr-CA"/>
        </w:rPr>
      </w:pPr>
      <w:r>
        <w:rPr>
          <w:lang w:val="fr-CA"/>
        </w:rPr>
        <w:t>L’action collective n’existe pas encore au stade de l’autorisation. Pour cette raison,</w:t>
      </w:r>
      <w:r w:rsidR="00652A42">
        <w:rPr>
          <w:lang w:val="fr-CA"/>
        </w:rPr>
        <w:t xml:space="preserve"> c’est</w:t>
      </w:r>
      <w:r>
        <w:rPr>
          <w:lang w:val="fr-CA"/>
        </w:rPr>
        <w:t xml:space="preserve"> le </w:t>
      </w:r>
      <w:r w:rsidR="00507F7E">
        <w:rPr>
          <w:lang w:val="fr-CA"/>
        </w:rPr>
        <w:t>recours personnel de la partie demanderesse</w:t>
      </w:r>
      <w:r w:rsidR="00652A42">
        <w:rPr>
          <w:lang w:val="fr-CA"/>
        </w:rPr>
        <w:t xml:space="preserve"> qui </w:t>
      </w:r>
      <w:r w:rsidRPr="00FD3121" w:rsidR="00652A42">
        <w:rPr>
          <w:lang w:val="fr-CA"/>
        </w:rPr>
        <w:t xml:space="preserve">doit </w:t>
      </w:r>
      <w:r w:rsidR="00FD3121">
        <w:rPr>
          <w:lang w:val="fr-CA"/>
        </w:rPr>
        <w:t>présenter</w:t>
      </w:r>
      <w:r w:rsidR="00652A42">
        <w:rPr>
          <w:lang w:val="fr-CA"/>
        </w:rPr>
        <w:t xml:space="preserve"> une apparence de droit suffisante</w:t>
      </w:r>
      <w:r>
        <w:rPr>
          <w:rStyle w:val="FootnoteReference"/>
          <w:lang w:val="fr-CA"/>
        </w:rPr>
        <w:footnoteReference w:id="13"/>
      </w:r>
      <w:r w:rsidR="00507F7E">
        <w:rPr>
          <w:lang w:val="fr-CA"/>
        </w:rPr>
        <w:t xml:space="preserve">. Le fait qu’un autre membre putatif puisse </w:t>
      </w:r>
      <w:r>
        <w:rPr>
          <w:lang w:val="fr-CA"/>
        </w:rPr>
        <w:t>avoir</w:t>
      </w:r>
      <w:r w:rsidR="00507F7E">
        <w:rPr>
          <w:lang w:val="fr-CA"/>
        </w:rPr>
        <w:t xml:space="preserve"> un recours valable à première vue ne suffit pas</w:t>
      </w:r>
      <w:r w:rsidR="00652A42">
        <w:rPr>
          <w:lang w:val="fr-CA"/>
        </w:rPr>
        <w:t>,</w:t>
      </w:r>
      <w:r w:rsidR="00507F7E">
        <w:rPr>
          <w:lang w:val="fr-CA"/>
        </w:rPr>
        <w:t xml:space="preserve"> si le recours personnel de la demanderesse ne présente aucune chance de succès</w:t>
      </w:r>
      <w:r>
        <w:rPr>
          <w:rStyle w:val="FootnoteReference"/>
          <w:lang w:val="fr-CA"/>
        </w:rPr>
        <w:footnoteReference w:id="14"/>
      </w:r>
      <w:r w:rsidR="005760F6">
        <w:rPr>
          <w:lang w:val="fr-CA"/>
        </w:rPr>
        <w:t xml:space="preserve">. </w:t>
      </w:r>
    </w:p>
    <w:p w:rsidR="005760F6" w:rsidP="00A8362E" w14:paraId="30CD755A" w14:textId="4E29F251">
      <w:pPr>
        <w:pStyle w:val="Paragrdouble"/>
        <w:tabs>
          <w:tab w:val="clear" w:pos="360"/>
        </w:tabs>
        <w:spacing w:line="240" w:lineRule="auto"/>
        <w:rPr>
          <w:lang w:val="fr-CA"/>
        </w:rPr>
      </w:pPr>
      <w:r>
        <w:rPr>
          <w:lang w:val="fr-CA"/>
        </w:rPr>
        <w:t>Cela dit, la partie demanderesse n’est pas tenue de disposer d’une cause personnelle d’action contre chacun des défendeurs</w:t>
      </w:r>
      <w:r w:rsidR="00FE15BB">
        <w:rPr>
          <w:lang w:val="fr-CA"/>
        </w:rPr>
        <w:t> : il suffit qu’elle ait un droit apparent à l’égard de l’un</w:t>
      </w:r>
      <w:r w:rsidR="00A179BB">
        <w:rPr>
          <w:lang w:val="fr-CA"/>
        </w:rPr>
        <w:t xml:space="preserve"> d’eux</w:t>
      </w:r>
      <w:r w:rsidR="00FE15BB">
        <w:rPr>
          <w:lang w:val="fr-CA"/>
        </w:rPr>
        <w:t xml:space="preserve"> et que les autres conditions d’autorisation</w:t>
      </w:r>
      <w:r>
        <w:rPr>
          <w:lang w:val="fr-CA"/>
        </w:rPr>
        <w:t xml:space="preserve"> </w:t>
      </w:r>
      <w:r w:rsidR="00FE15BB">
        <w:rPr>
          <w:lang w:val="fr-CA"/>
        </w:rPr>
        <w:t>soient satisfaites</w:t>
      </w:r>
      <w:r>
        <w:rPr>
          <w:rStyle w:val="FootnoteReference"/>
          <w:lang w:val="fr-CA"/>
        </w:rPr>
        <w:footnoteReference w:id="15"/>
      </w:r>
      <w:r w:rsidR="00FE15BB">
        <w:rPr>
          <w:lang w:val="fr-CA"/>
        </w:rPr>
        <w:t>.</w:t>
      </w:r>
    </w:p>
    <w:p w:rsidR="00FF4DB7" w:rsidP="00FF4DB7" w14:paraId="1CA8092C" w14:textId="69EA4E33">
      <w:pPr>
        <w:pStyle w:val="Paragrdouble"/>
        <w:tabs>
          <w:tab w:val="clear" w:pos="360"/>
        </w:tabs>
        <w:spacing w:line="240" w:lineRule="auto"/>
        <w:rPr>
          <w:lang w:val="fr-CA"/>
        </w:rPr>
      </w:pPr>
      <w:r>
        <w:rPr>
          <w:lang w:val="fr-CA"/>
        </w:rPr>
        <w:t>D</w:t>
      </w:r>
      <w:r>
        <w:rPr>
          <w:lang w:val="fr-CA"/>
        </w:rPr>
        <w:t>ans le cadre de son analyse de l’apparence de droit, le Tribunal tient les faits allégués pour avérés</w:t>
      </w:r>
      <w:r>
        <w:rPr>
          <w:rStyle w:val="FootnoteReference"/>
          <w:lang w:val="fr-CA"/>
        </w:rPr>
        <w:footnoteReference w:id="16"/>
      </w:r>
      <w:r>
        <w:rPr>
          <w:lang w:val="fr-CA"/>
        </w:rPr>
        <w:t xml:space="preserve">. </w:t>
      </w:r>
      <w:r w:rsidR="00823E36">
        <w:rPr>
          <w:lang w:val="fr-CA"/>
        </w:rPr>
        <w:t xml:space="preserve">Toutefois, seuls les faits sont tenus pour </w:t>
      </w:r>
      <w:r w:rsidR="00B72383">
        <w:rPr>
          <w:lang w:val="fr-CA"/>
        </w:rPr>
        <w:t xml:space="preserve">avérés : le Tribunal </w:t>
      </w:r>
      <w:r w:rsidR="001D6F5B">
        <w:rPr>
          <w:lang w:val="fr-CA"/>
        </w:rPr>
        <w:t>doit</w:t>
      </w:r>
      <w:r w:rsidR="00B72383">
        <w:rPr>
          <w:lang w:val="fr-CA"/>
        </w:rPr>
        <w:t xml:space="preserve"> écarter </w:t>
      </w:r>
      <w:r w:rsidR="00EC226E">
        <w:rPr>
          <w:lang w:val="fr-CA"/>
        </w:rPr>
        <w:t>la qualification juridique qu</w:t>
      </w:r>
      <w:r w:rsidR="00652A42">
        <w:rPr>
          <w:lang w:val="fr-CA"/>
        </w:rPr>
        <w:t>e la partie demanderesse</w:t>
      </w:r>
      <w:r w:rsidR="00EC226E">
        <w:rPr>
          <w:lang w:val="fr-CA"/>
        </w:rPr>
        <w:t xml:space="preserve"> donne</w:t>
      </w:r>
      <w:r w:rsidR="00A179BB">
        <w:rPr>
          <w:lang w:val="fr-CA"/>
        </w:rPr>
        <w:t xml:space="preserve"> aux faits</w:t>
      </w:r>
      <w:r w:rsidR="00652A42">
        <w:rPr>
          <w:lang w:val="fr-CA"/>
        </w:rPr>
        <w:t>, ainsi que</w:t>
      </w:r>
      <w:r w:rsidR="00B72383">
        <w:rPr>
          <w:lang w:val="fr-CA"/>
        </w:rPr>
        <w:t xml:space="preserve"> l</w:t>
      </w:r>
      <w:r w:rsidR="00823E36">
        <w:rPr>
          <w:lang w:val="fr-CA"/>
        </w:rPr>
        <w:t>es hypothèses,</w:t>
      </w:r>
      <w:r w:rsidR="00962CDD">
        <w:rPr>
          <w:lang w:val="fr-CA"/>
        </w:rPr>
        <w:t xml:space="preserve"> </w:t>
      </w:r>
      <w:r w:rsidR="00B72383">
        <w:rPr>
          <w:lang w:val="fr-CA"/>
        </w:rPr>
        <w:t>l</w:t>
      </w:r>
      <w:r w:rsidR="00962CDD">
        <w:rPr>
          <w:lang w:val="fr-CA"/>
        </w:rPr>
        <w:t>es inférences</w:t>
      </w:r>
      <w:r w:rsidR="00EC226E">
        <w:rPr>
          <w:lang w:val="fr-CA"/>
        </w:rPr>
        <w:t xml:space="preserve"> </w:t>
      </w:r>
      <w:r w:rsidR="00B72383">
        <w:rPr>
          <w:lang w:val="fr-CA"/>
        </w:rPr>
        <w:t>et</w:t>
      </w:r>
      <w:r w:rsidR="00EC226E">
        <w:rPr>
          <w:lang w:val="fr-CA"/>
        </w:rPr>
        <w:t xml:space="preserve"> </w:t>
      </w:r>
      <w:r w:rsidR="00B72383">
        <w:rPr>
          <w:lang w:val="fr-CA"/>
        </w:rPr>
        <w:t>l</w:t>
      </w:r>
      <w:r w:rsidR="00EC226E">
        <w:rPr>
          <w:lang w:val="fr-CA"/>
        </w:rPr>
        <w:t>es opinions</w:t>
      </w:r>
      <w:r>
        <w:rPr>
          <w:rStyle w:val="FootnoteReference"/>
          <w:lang w:val="fr-CA"/>
        </w:rPr>
        <w:footnoteReference w:id="17"/>
      </w:r>
      <w:r w:rsidR="00823E36">
        <w:rPr>
          <w:lang w:val="fr-CA"/>
        </w:rPr>
        <w:t xml:space="preserve">. </w:t>
      </w:r>
      <w:r w:rsidR="00962CDD">
        <w:rPr>
          <w:lang w:val="fr-CA"/>
        </w:rPr>
        <w:t xml:space="preserve">Le Tribunal doit également faire </w:t>
      </w:r>
      <w:r w:rsidR="00962CDD">
        <w:rPr>
          <w:lang w:val="fr-CA"/>
        </w:rPr>
        <w:t xml:space="preserve">abstraction des faits allégués qui sont </w:t>
      </w:r>
      <w:r w:rsidR="00EC226E">
        <w:rPr>
          <w:lang w:val="fr-CA"/>
        </w:rPr>
        <w:t xml:space="preserve">invraisemblables ou </w:t>
      </w:r>
      <w:r w:rsidR="00962CDD">
        <w:rPr>
          <w:lang w:val="fr-CA"/>
        </w:rPr>
        <w:t xml:space="preserve">manifestement </w:t>
      </w:r>
      <w:r w:rsidR="00EC226E">
        <w:rPr>
          <w:lang w:val="fr-CA"/>
        </w:rPr>
        <w:t>inexacts au regard d’une</w:t>
      </w:r>
      <w:r w:rsidR="00962CDD">
        <w:rPr>
          <w:lang w:val="fr-CA"/>
        </w:rPr>
        <w:t xml:space="preserve"> preuve documentaire fiable</w:t>
      </w:r>
      <w:r>
        <w:rPr>
          <w:rStyle w:val="FootnoteReference"/>
          <w:lang w:val="fr-CA"/>
        </w:rPr>
        <w:footnoteReference w:id="18"/>
      </w:r>
      <w:r w:rsidR="00EC226E">
        <w:rPr>
          <w:lang w:val="fr-CA"/>
        </w:rPr>
        <w:t xml:space="preserve">. </w:t>
      </w:r>
      <w:r w:rsidR="00823E36">
        <w:rPr>
          <w:lang w:val="fr-CA"/>
        </w:rPr>
        <w:t>Par ailleurs</w:t>
      </w:r>
      <w:r>
        <w:rPr>
          <w:lang w:val="fr-CA"/>
        </w:rPr>
        <w:t>, de simples affirmations vagues, générales ou imprécises</w:t>
      </w:r>
      <w:r w:rsidR="0025111D">
        <w:rPr>
          <w:lang w:val="fr-CA"/>
        </w:rPr>
        <w:t xml:space="preserve"> </w:t>
      </w:r>
      <w:r w:rsidR="00823E36">
        <w:rPr>
          <w:lang w:val="fr-CA"/>
        </w:rPr>
        <w:t>se rapprochent</w:t>
      </w:r>
      <w:r w:rsidR="0025111D">
        <w:rPr>
          <w:lang w:val="fr-CA"/>
        </w:rPr>
        <w:t xml:space="preserve"> de </w:t>
      </w:r>
      <w:r>
        <w:rPr>
          <w:lang w:val="fr-CA"/>
        </w:rPr>
        <w:t>l’hypothèse ou de l’opinion</w:t>
      </w:r>
      <w:r w:rsidR="00823E36">
        <w:rPr>
          <w:lang w:val="fr-CA"/>
        </w:rPr>
        <w:t xml:space="preserve"> et</w:t>
      </w:r>
      <w:r>
        <w:rPr>
          <w:lang w:val="fr-CA"/>
        </w:rPr>
        <w:t xml:space="preserve"> ne peuvent pas être tenues pour avérées si elles ne sont pas appuyées d’une « certaine preuve »</w:t>
      </w:r>
      <w:r>
        <w:rPr>
          <w:rStyle w:val="FootnoteReference"/>
          <w:lang w:val="fr-CA"/>
        </w:rPr>
        <w:footnoteReference w:id="19"/>
      </w:r>
      <w:r>
        <w:rPr>
          <w:lang w:val="fr-CA"/>
        </w:rPr>
        <w:t>.</w:t>
      </w:r>
    </w:p>
    <w:p w:rsidR="00E04189" w:rsidP="00CD4F89" w14:paraId="0A838BCA" w14:textId="68F75CEC">
      <w:pPr>
        <w:pStyle w:val="Heading3"/>
        <w:rPr>
          <w:lang w:val="fr-CA"/>
        </w:rPr>
      </w:pPr>
      <w:r>
        <w:rPr>
          <w:lang w:val="fr-CA"/>
        </w:rPr>
        <w:t xml:space="preserve">Demande </w:t>
      </w:r>
      <w:r w:rsidR="0033722E">
        <w:rPr>
          <w:lang w:val="fr-CA"/>
        </w:rPr>
        <w:t>d’</w:t>
      </w:r>
      <w:r>
        <w:rPr>
          <w:lang w:val="fr-CA"/>
        </w:rPr>
        <w:t xml:space="preserve">autorisation </w:t>
      </w:r>
      <w:r w:rsidR="00FF4DB7">
        <w:rPr>
          <w:lang w:val="fr-CA"/>
        </w:rPr>
        <w:t xml:space="preserve">et preuve </w:t>
      </w:r>
      <w:r w:rsidR="001B7031">
        <w:rPr>
          <w:lang w:val="fr-CA"/>
        </w:rPr>
        <w:t>au</w:t>
      </w:r>
      <w:r w:rsidR="00FF4DB7">
        <w:rPr>
          <w:lang w:val="fr-CA"/>
        </w:rPr>
        <w:t xml:space="preserve"> soutien</w:t>
      </w:r>
    </w:p>
    <w:p w:rsidR="006971EA" w:rsidP="00A8362E" w14:paraId="4842B6D2" w14:textId="3C0F34F2">
      <w:pPr>
        <w:pStyle w:val="Paragrdouble"/>
        <w:tabs>
          <w:tab w:val="clear" w:pos="360"/>
        </w:tabs>
        <w:spacing w:line="240" w:lineRule="auto"/>
        <w:rPr>
          <w:lang w:val="fr-CA"/>
        </w:rPr>
      </w:pPr>
      <w:r>
        <w:rPr>
          <w:lang w:val="fr-CA"/>
        </w:rPr>
        <w:t>L</w:t>
      </w:r>
      <w:r w:rsidR="00E0520B">
        <w:rPr>
          <w:lang w:val="fr-CA"/>
        </w:rPr>
        <w:t xml:space="preserve">a </w:t>
      </w:r>
      <w:r w:rsidR="001B7031">
        <w:rPr>
          <w:lang w:val="fr-CA"/>
        </w:rPr>
        <w:t>procédure de la demanderesse</w:t>
      </w:r>
      <w:r w:rsidR="00E0520B">
        <w:rPr>
          <w:lang w:val="fr-CA"/>
        </w:rPr>
        <w:t xml:space="preserve"> allègue </w:t>
      </w:r>
      <w:r w:rsidR="00B35B47">
        <w:rPr>
          <w:lang w:val="fr-CA"/>
        </w:rPr>
        <w:t>essentiellement ce qui suit</w:t>
      </w:r>
      <w:r>
        <w:rPr>
          <w:lang w:val="fr-CA"/>
        </w:rPr>
        <w:t> :</w:t>
      </w:r>
    </w:p>
    <w:p w:rsidR="00DF7E86" w:rsidP="00300D5B" w14:paraId="111CB4EB" w14:textId="0D9A2BA0">
      <w:pPr>
        <w:pStyle w:val="Sous-paragraphe"/>
        <w:rPr>
          <w:lang w:val="fr-CA"/>
        </w:rPr>
      </w:pPr>
      <w:r w:rsidRPr="00DF7E86">
        <w:rPr>
          <w:lang w:val="fr-CA"/>
        </w:rPr>
        <w:t>À</w:t>
      </w:r>
      <w:r w:rsidRPr="00DF7E86" w:rsidR="00251D4F">
        <w:rPr>
          <w:lang w:val="fr-CA"/>
        </w:rPr>
        <w:t xml:space="preserve"> l’époque visée par </w:t>
      </w:r>
      <w:r w:rsidR="001B7031">
        <w:rPr>
          <w:lang w:val="fr-CA"/>
        </w:rPr>
        <w:t>son recours</w:t>
      </w:r>
      <w:r w:rsidRPr="00DF7E86" w:rsidR="00251D4F">
        <w:rPr>
          <w:lang w:val="fr-CA"/>
        </w:rPr>
        <w:t xml:space="preserve">, </w:t>
      </w:r>
      <w:r w:rsidRPr="00DF7E86">
        <w:rPr>
          <w:lang w:val="fr-CA"/>
        </w:rPr>
        <w:t>la demanderesse</w:t>
      </w:r>
      <w:r w:rsidRPr="00DF7E86" w:rsidR="007C088A">
        <w:rPr>
          <w:lang w:val="fr-CA"/>
        </w:rPr>
        <w:t xml:space="preserve"> </w:t>
      </w:r>
      <w:r w:rsidRPr="00DF7E86" w:rsidR="00251D4F">
        <w:rPr>
          <w:lang w:val="fr-CA"/>
        </w:rPr>
        <w:t>achète régulièrement des breuvages au restaurant Second Cup situé sur le campus de l’Université Loyola, à Montréal</w:t>
      </w:r>
      <w:r>
        <w:rPr>
          <w:rStyle w:val="FootnoteReference"/>
          <w:lang w:val="fr-CA"/>
        </w:rPr>
        <w:footnoteReference w:id="20"/>
      </w:r>
      <w:r w:rsidRPr="00DF7E86">
        <w:rPr>
          <w:lang w:val="fr-CA"/>
        </w:rPr>
        <w:t xml:space="preserve"> et, à l’occasion, </w:t>
      </w:r>
      <w:r w:rsidRPr="00DF7E86" w:rsidR="00CF699A">
        <w:rPr>
          <w:lang w:val="fr-CA"/>
        </w:rPr>
        <w:t xml:space="preserve">au restaurant Starbucks situé sur la rue Queen Mary, </w:t>
      </w:r>
      <w:r w:rsidR="00FE15BB">
        <w:rPr>
          <w:lang w:val="fr-CA"/>
        </w:rPr>
        <w:t xml:space="preserve">également </w:t>
      </w:r>
      <w:r w:rsidRPr="00DF7E86" w:rsidR="00CF699A">
        <w:rPr>
          <w:lang w:val="fr-CA"/>
        </w:rPr>
        <w:t>à Montréal</w:t>
      </w:r>
      <w:r>
        <w:rPr>
          <w:rStyle w:val="FootnoteReference"/>
          <w:lang w:val="fr-CA"/>
        </w:rPr>
        <w:footnoteReference w:id="21"/>
      </w:r>
      <w:r w:rsidRPr="00DF7E86">
        <w:rPr>
          <w:lang w:val="fr-CA"/>
        </w:rPr>
        <w:t>;</w:t>
      </w:r>
    </w:p>
    <w:p w:rsidR="00DF7E86" w:rsidP="002C4AE0" w14:paraId="2076D52B" w14:textId="77777777">
      <w:pPr>
        <w:pStyle w:val="Sous-paragraphe"/>
        <w:rPr>
          <w:lang w:val="fr-CA"/>
        </w:rPr>
      </w:pPr>
      <w:r w:rsidRPr="00DF7E86">
        <w:rPr>
          <w:lang w:val="fr-CA"/>
        </w:rPr>
        <w:t>Son breuvage de choix est le « matcha latte », qui est composé de thé vert et d</w:t>
      </w:r>
      <w:r w:rsidRPr="00DF7E86" w:rsidR="0086420F">
        <w:rPr>
          <w:lang w:val="fr-CA"/>
        </w:rPr>
        <w:t>’</w:t>
      </w:r>
      <w:r w:rsidRPr="00DF7E86">
        <w:rPr>
          <w:lang w:val="fr-CA"/>
        </w:rPr>
        <w:t>e</w:t>
      </w:r>
      <w:r w:rsidRPr="00DF7E86" w:rsidR="0086420F">
        <w:rPr>
          <w:lang w:val="fr-CA"/>
        </w:rPr>
        <w:t>nviron 280 ml de</w:t>
      </w:r>
      <w:r w:rsidRPr="00DF7E86">
        <w:rPr>
          <w:lang w:val="fr-CA"/>
        </w:rPr>
        <w:t xml:space="preserve"> lait</w:t>
      </w:r>
      <w:r>
        <w:rPr>
          <w:rStyle w:val="FootnoteReference"/>
          <w:lang w:val="fr-CA"/>
        </w:rPr>
        <w:footnoteReference w:id="22"/>
      </w:r>
      <w:r w:rsidRPr="00DF7E86" w:rsidR="00CF699A">
        <w:rPr>
          <w:lang w:val="fr-CA"/>
        </w:rPr>
        <w:t>, mais elle boit aussi des cafés au lait ou des breuvages glacés contenant du lait</w:t>
      </w:r>
      <w:r>
        <w:rPr>
          <w:rStyle w:val="FootnoteReference"/>
          <w:lang w:val="fr-CA"/>
        </w:rPr>
        <w:footnoteReference w:id="23"/>
      </w:r>
      <w:r w:rsidRPr="00DF7E86">
        <w:rPr>
          <w:lang w:val="fr-CA"/>
        </w:rPr>
        <w:t>;</w:t>
      </w:r>
    </w:p>
    <w:p w:rsidR="00DF7E86" w:rsidP="002C4AE0" w14:paraId="7ACD73BC" w14:textId="730B5B5D">
      <w:pPr>
        <w:pStyle w:val="Sous-paragraphe"/>
        <w:rPr>
          <w:lang w:val="fr-CA"/>
        </w:rPr>
      </w:pPr>
      <w:r w:rsidRPr="00DF7E86">
        <w:rPr>
          <w:lang w:val="fr-CA"/>
        </w:rPr>
        <w:t xml:space="preserve">Comme </w:t>
      </w:r>
      <w:r w:rsidRPr="00DF7E86" w:rsidR="00C56A95">
        <w:rPr>
          <w:lang w:val="fr-CA"/>
        </w:rPr>
        <w:t xml:space="preserve">elle </w:t>
      </w:r>
      <w:r w:rsidR="00B35B47">
        <w:rPr>
          <w:lang w:val="fr-CA"/>
        </w:rPr>
        <w:t>suit une diète</w:t>
      </w:r>
      <w:r w:rsidRPr="00DF7E86" w:rsidR="00836126">
        <w:rPr>
          <w:lang w:val="fr-CA"/>
        </w:rPr>
        <w:t xml:space="preserve"> végane (c’est-à-dire qu’elle</w:t>
      </w:r>
      <w:r w:rsidRPr="00DF7E86">
        <w:rPr>
          <w:lang w:val="fr-CA"/>
        </w:rPr>
        <w:t xml:space="preserve"> ne consomme aucun produit animalier</w:t>
      </w:r>
      <w:r w:rsidRPr="00DF7E86" w:rsidR="00836126">
        <w:rPr>
          <w:lang w:val="fr-CA"/>
        </w:rPr>
        <w:t>)</w:t>
      </w:r>
      <w:r w:rsidRPr="00DF7E86">
        <w:rPr>
          <w:lang w:val="fr-CA"/>
        </w:rPr>
        <w:t xml:space="preserve">, </w:t>
      </w:r>
      <w:r>
        <w:rPr>
          <w:lang w:val="fr-CA"/>
        </w:rPr>
        <w:t>elle</w:t>
      </w:r>
      <w:r w:rsidRPr="00DF7E86" w:rsidR="00C56A95">
        <w:rPr>
          <w:lang w:val="fr-CA"/>
        </w:rPr>
        <w:t xml:space="preserve"> fait</w:t>
      </w:r>
      <w:r w:rsidRPr="00DF7E86">
        <w:rPr>
          <w:lang w:val="fr-CA"/>
        </w:rPr>
        <w:t xml:space="preserve"> remplacer le lait de vache </w:t>
      </w:r>
      <w:r w:rsidR="00E50678">
        <w:rPr>
          <w:lang w:val="fr-CA"/>
        </w:rPr>
        <w:t xml:space="preserve">normalement contenu dans son breuvage </w:t>
      </w:r>
      <w:r w:rsidRPr="00DF7E86">
        <w:rPr>
          <w:lang w:val="fr-CA"/>
        </w:rPr>
        <w:t>par du lait de soya ou d’avoine</w:t>
      </w:r>
      <w:r>
        <w:rPr>
          <w:rStyle w:val="FootnoteReference"/>
          <w:lang w:val="fr-CA"/>
        </w:rPr>
        <w:footnoteReference w:id="24"/>
      </w:r>
      <w:r>
        <w:rPr>
          <w:lang w:val="fr-CA"/>
        </w:rPr>
        <w:t>;</w:t>
      </w:r>
    </w:p>
    <w:p w:rsidR="00117084" w:rsidP="00C45ABE" w14:paraId="0A799171" w14:textId="1D7B4EC7">
      <w:pPr>
        <w:pStyle w:val="Sous-paragraphe"/>
        <w:rPr>
          <w:lang w:val="fr-CA"/>
        </w:rPr>
      </w:pPr>
      <w:r>
        <w:rPr>
          <w:lang w:val="fr-CA"/>
        </w:rPr>
        <w:t xml:space="preserve">Les restaurants </w:t>
      </w:r>
      <w:r w:rsidRPr="00DF7E86" w:rsidR="00DF7E86">
        <w:rPr>
          <w:lang w:val="fr-CA"/>
        </w:rPr>
        <w:t xml:space="preserve">Second Cup et Starbucks </w:t>
      </w:r>
      <w:r w:rsidRPr="00DF7E86" w:rsidR="00CF699A">
        <w:rPr>
          <w:lang w:val="fr-CA"/>
        </w:rPr>
        <w:t>exige</w:t>
      </w:r>
      <w:r w:rsidRPr="00DF7E86" w:rsidR="00DF7E86">
        <w:rPr>
          <w:lang w:val="fr-CA"/>
        </w:rPr>
        <w:t>nt</w:t>
      </w:r>
      <w:r w:rsidRPr="00DF7E86" w:rsidR="00054164">
        <w:rPr>
          <w:lang w:val="fr-CA"/>
        </w:rPr>
        <w:t xml:space="preserve"> </w:t>
      </w:r>
      <w:r w:rsidRPr="00DF7E86" w:rsidR="00251D4F">
        <w:rPr>
          <w:lang w:val="fr-CA"/>
        </w:rPr>
        <w:t>un supplément de 0,80 $</w:t>
      </w:r>
      <w:r w:rsidR="00E50678">
        <w:rPr>
          <w:lang w:val="fr-CA"/>
        </w:rPr>
        <w:t xml:space="preserve"> pour cette substitution</w:t>
      </w:r>
      <w:r>
        <w:rPr>
          <w:rStyle w:val="FootnoteReference"/>
          <w:lang w:val="fr-CA"/>
        </w:rPr>
        <w:footnoteReference w:id="25"/>
      </w:r>
      <w:r>
        <w:rPr>
          <w:lang w:val="fr-CA"/>
        </w:rPr>
        <w:t>. Dans les restaurants Tim Hortons, ce supplément est de 0,50 $</w:t>
      </w:r>
      <w:r>
        <w:rPr>
          <w:rStyle w:val="FootnoteReference"/>
          <w:lang w:val="fr-CA"/>
        </w:rPr>
        <w:footnoteReference w:id="26"/>
      </w:r>
      <w:r>
        <w:rPr>
          <w:lang w:val="fr-CA"/>
        </w:rPr>
        <w:t>;</w:t>
      </w:r>
    </w:p>
    <w:p w:rsidR="00DF7E86" w:rsidP="00C45ABE" w14:paraId="32C0D1AB" w14:textId="6F8C43A1">
      <w:pPr>
        <w:pStyle w:val="Sous-paragraphe"/>
        <w:rPr>
          <w:lang w:val="fr-CA"/>
        </w:rPr>
      </w:pPr>
      <w:r w:rsidRPr="00DF7E86">
        <w:rPr>
          <w:lang w:val="fr-CA"/>
        </w:rPr>
        <w:t>La</w:t>
      </w:r>
      <w:r w:rsidRPr="00DF7E86">
        <w:rPr>
          <w:lang w:val="fr-CA"/>
        </w:rPr>
        <w:t xml:space="preserve"> demanderesse paye donc </w:t>
      </w:r>
      <w:r w:rsidRPr="00DF7E86" w:rsidR="00836126">
        <w:rPr>
          <w:lang w:val="fr-CA"/>
        </w:rPr>
        <w:t xml:space="preserve">6,80 $ pour un breuvage </w:t>
      </w:r>
      <w:r>
        <w:rPr>
          <w:lang w:val="fr-CA"/>
        </w:rPr>
        <w:t xml:space="preserve">contenant </w:t>
      </w:r>
      <w:r w:rsidR="00BC0C66">
        <w:rPr>
          <w:lang w:val="fr-CA"/>
        </w:rPr>
        <w:t>280 ml de</w:t>
      </w:r>
      <w:r>
        <w:rPr>
          <w:lang w:val="fr-CA"/>
        </w:rPr>
        <w:t xml:space="preserve"> lait de soya ou d’avoine, alors </w:t>
      </w:r>
      <w:r w:rsidRPr="00DF7E86">
        <w:rPr>
          <w:lang w:val="fr-CA"/>
        </w:rPr>
        <w:t>qu’elle payerait</w:t>
      </w:r>
      <w:r w:rsidRPr="00DF7E86" w:rsidR="00836126">
        <w:rPr>
          <w:lang w:val="fr-CA"/>
        </w:rPr>
        <w:t xml:space="preserve"> 6,00 $ </w:t>
      </w:r>
      <w:r>
        <w:rPr>
          <w:lang w:val="fr-CA"/>
        </w:rPr>
        <w:t xml:space="preserve">si le </w:t>
      </w:r>
      <w:r w:rsidR="00BC0C66">
        <w:rPr>
          <w:lang w:val="fr-CA"/>
        </w:rPr>
        <w:t xml:space="preserve">même </w:t>
      </w:r>
      <w:r>
        <w:rPr>
          <w:lang w:val="fr-CA"/>
        </w:rPr>
        <w:t xml:space="preserve">breuvage </w:t>
      </w:r>
      <w:r w:rsidRPr="00DF7E86" w:rsidR="00CF699A">
        <w:rPr>
          <w:lang w:val="fr-CA"/>
        </w:rPr>
        <w:t>contenait</w:t>
      </w:r>
      <w:r w:rsidRPr="00DF7E86" w:rsidR="00836126">
        <w:rPr>
          <w:lang w:val="fr-CA"/>
        </w:rPr>
        <w:t xml:space="preserve"> </w:t>
      </w:r>
      <w:r w:rsidR="00BC0C66">
        <w:rPr>
          <w:lang w:val="fr-CA"/>
        </w:rPr>
        <w:t>280 ml de</w:t>
      </w:r>
      <w:r w:rsidRPr="00DF7E86" w:rsidR="00836126">
        <w:rPr>
          <w:lang w:val="fr-CA"/>
        </w:rPr>
        <w:t xml:space="preserve"> lait de vache</w:t>
      </w:r>
      <w:r w:rsidRPr="00DF7E86">
        <w:rPr>
          <w:lang w:val="fr-CA"/>
        </w:rPr>
        <w:t>;</w:t>
      </w:r>
    </w:p>
    <w:p w:rsidR="00C56A95" w:rsidP="00C45ABE" w14:paraId="465D14A1" w14:textId="00CF3E33">
      <w:pPr>
        <w:pStyle w:val="Sous-paragraphe"/>
        <w:rPr>
          <w:lang w:val="fr-CA"/>
        </w:rPr>
      </w:pPr>
      <w:r>
        <w:rPr>
          <w:lang w:val="fr-CA"/>
        </w:rPr>
        <w:t>Or, a</w:t>
      </w:r>
      <w:r w:rsidRPr="00DF7E86">
        <w:rPr>
          <w:lang w:val="fr-CA"/>
        </w:rPr>
        <w:t xml:space="preserve">près avoir effectué des recherches avec </w:t>
      </w:r>
      <w:r w:rsidRPr="00DF7E86" w:rsidR="00251D4F">
        <w:rPr>
          <w:lang w:val="fr-CA"/>
        </w:rPr>
        <w:t>son avocat</w:t>
      </w:r>
      <w:r w:rsidRPr="00DF7E86">
        <w:rPr>
          <w:lang w:val="fr-CA"/>
        </w:rPr>
        <w:t xml:space="preserve">, </w:t>
      </w:r>
      <w:r w:rsidR="00E0520B">
        <w:rPr>
          <w:lang w:val="fr-CA"/>
        </w:rPr>
        <w:t>la demanderesse constate</w:t>
      </w:r>
      <w:r w:rsidRPr="00DF7E86">
        <w:rPr>
          <w:lang w:val="fr-CA"/>
        </w:rPr>
        <w:t xml:space="preserve"> que </w:t>
      </w:r>
      <w:r w:rsidRPr="00DF7E86" w:rsidR="00251D4F">
        <w:rPr>
          <w:lang w:val="fr-CA"/>
        </w:rPr>
        <w:t xml:space="preserve">le prix au détail des substituts laitiers </w:t>
      </w:r>
      <w:r w:rsidRPr="00DF7E86">
        <w:rPr>
          <w:lang w:val="fr-CA"/>
        </w:rPr>
        <w:t>est</w:t>
      </w:r>
      <w:r w:rsidRPr="00DF7E86" w:rsidR="00054164">
        <w:rPr>
          <w:lang w:val="fr-CA"/>
        </w:rPr>
        <w:t xml:space="preserve"> identique, voire </w:t>
      </w:r>
      <w:r w:rsidRPr="00DF7E86" w:rsidR="00054164">
        <w:rPr>
          <w:lang w:val="fr-CA"/>
        </w:rPr>
        <w:t>inférieur au prix au détail du lait de vache</w:t>
      </w:r>
      <w:r>
        <w:rPr>
          <w:rStyle w:val="FootnoteReference"/>
          <w:lang w:val="fr-CA"/>
        </w:rPr>
        <w:footnoteReference w:id="27"/>
      </w:r>
      <w:r w:rsidR="00E0520B">
        <w:rPr>
          <w:lang w:val="fr-CA"/>
        </w:rPr>
        <w:t>;</w:t>
      </w:r>
    </w:p>
    <w:p w:rsidR="00E50678" w:rsidP="00B9454A" w14:paraId="6AF79D66" w14:textId="474BCEE4">
      <w:pPr>
        <w:pStyle w:val="Sous-paragraphe"/>
        <w:rPr>
          <w:lang w:val="fr-CA"/>
        </w:rPr>
      </w:pPr>
      <w:r w:rsidRPr="00E50678">
        <w:rPr>
          <w:lang w:val="fr-CA"/>
        </w:rPr>
        <w:t xml:space="preserve">Puisque le prix au détail des </w:t>
      </w:r>
      <w:r w:rsidR="00682EB7">
        <w:rPr>
          <w:lang w:val="fr-CA"/>
        </w:rPr>
        <w:t>laits végétaux</w:t>
      </w:r>
      <w:r w:rsidRPr="00E50678">
        <w:rPr>
          <w:lang w:val="fr-CA"/>
        </w:rPr>
        <w:t xml:space="preserve"> est identique au prix au détail du lait de vache, </w:t>
      </w:r>
      <w:r w:rsidR="0025111D">
        <w:rPr>
          <w:lang w:val="fr-CA"/>
        </w:rPr>
        <w:t>on peut</w:t>
      </w:r>
      <w:r w:rsidRPr="00E50678">
        <w:rPr>
          <w:lang w:val="fr-CA"/>
        </w:rPr>
        <w:t xml:space="preserve"> </w:t>
      </w:r>
      <w:r w:rsidRPr="00E50678">
        <w:rPr>
          <w:lang w:val="fr-CA"/>
        </w:rPr>
        <w:t>présume</w:t>
      </w:r>
      <w:r w:rsidR="0025111D">
        <w:rPr>
          <w:lang w:val="fr-CA"/>
        </w:rPr>
        <w:t>r</w:t>
      </w:r>
      <w:r w:rsidRPr="00E50678">
        <w:rPr>
          <w:lang w:val="fr-CA"/>
        </w:rPr>
        <w:t xml:space="preserve"> que</w:t>
      </w:r>
      <w:r w:rsidRPr="00E50678" w:rsidR="00E0520B">
        <w:rPr>
          <w:lang w:val="fr-CA"/>
        </w:rPr>
        <w:t xml:space="preserve"> le prix de gros des </w:t>
      </w:r>
      <w:r w:rsidR="00682EB7">
        <w:rPr>
          <w:lang w:val="fr-CA"/>
        </w:rPr>
        <w:t>laits végétaux</w:t>
      </w:r>
      <w:r w:rsidRPr="00E50678" w:rsidR="00E0520B">
        <w:rPr>
          <w:lang w:val="fr-CA"/>
        </w:rPr>
        <w:t xml:space="preserve"> est</w:t>
      </w:r>
      <w:r w:rsidRPr="00E50678" w:rsidR="008E0450">
        <w:rPr>
          <w:lang w:val="fr-CA"/>
        </w:rPr>
        <w:t>,</w:t>
      </w:r>
      <w:r w:rsidRPr="00E50678" w:rsidR="00E0520B">
        <w:rPr>
          <w:lang w:val="fr-CA"/>
        </w:rPr>
        <w:t xml:space="preserve"> lui aussi</w:t>
      </w:r>
      <w:r w:rsidRPr="00E50678" w:rsidR="008E0450">
        <w:rPr>
          <w:lang w:val="fr-CA"/>
        </w:rPr>
        <w:t>, identique au prix de gros du lait de vache</w:t>
      </w:r>
      <w:r>
        <w:rPr>
          <w:rStyle w:val="FootnoteReference"/>
          <w:lang w:val="fr-CA"/>
        </w:rPr>
        <w:footnoteReference w:id="28"/>
      </w:r>
      <w:r w:rsidRPr="00E50678" w:rsidR="00E0520B">
        <w:rPr>
          <w:lang w:val="fr-CA"/>
        </w:rPr>
        <w:t>;</w:t>
      </w:r>
    </w:p>
    <w:p w:rsidR="00B35B47" w:rsidP="00B9454A" w14:paraId="2974156C" w14:textId="3574AF03">
      <w:pPr>
        <w:pStyle w:val="Sous-paragraphe"/>
        <w:rPr>
          <w:lang w:val="fr-CA"/>
        </w:rPr>
      </w:pPr>
      <w:r>
        <w:rPr>
          <w:lang w:val="fr-CA"/>
        </w:rPr>
        <w:t>Les</w:t>
      </w:r>
      <w:r w:rsidR="00773EE9">
        <w:rPr>
          <w:lang w:val="fr-CA"/>
        </w:rPr>
        <w:t xml:space="preserve"> restaurants</w:t>
      </w:r>
      <w:r w:rsidRPr="00E50678" w:rsidR="00BC0C66">
        <w:rPr>
          <w:lang w:val="fr-CA"/>
        </w:rPr>
        <w:t xml:space="preserve"> chargent </w:t>
      </w:r>
      <w:r>
        <w:rPr>
          <w:lang w:val="fr-CA"/>
        </w:rPr>
        <w:t xml:space="preserve">donc </w:t>
      </w:r>
      <w:r w:rsidRPr="00E50678" w:rsidR="00BC0C66">
        <w:rPr>
          <w:lang w:val="fr-CA"/>
        </w:rPr>
        <w:t>un</w:t>
      </w:r>
      <w:r w:rsidRPr="00E50678" w:rsidR="008E0450">
        <w:rPr>
          <w:lang w:val="fr-CA"/>
        </w:rPr>
        <w:t xml:space="preserve"> supplément de </w:t>
      </w:r>
      <w:r w:rsidRPr="00E50678" w:rsidR="00BC0C66">
        <w:rPr>
          <w:lang w:val="fr-CA"/>
        </w:rPr>
        <w:t xml:space="preserve">0,50 $ ou </w:t>
      </w:r>
      <w:r w:rsidRPr="00E50678" w:rsidR="008E0450">
        <w:rPr>
          <w:lang w:val="fr-CA"/>
        </w:rPr>
        <w:t xml:space="preserve">0,80 $ </w:t>
      </w:r>
      <w:r w:rsidRPr="00E50678" w:rsidR="00BC0C66">
        <w:rPr>
          <w:lang w:val="fr-CA"/>
        </w:rPr>
        <w:t xml:space="preserve">pour remplacer le lait de vache par un </w:t>
      </w:r>
      <w:r w:rsidR="00682EB7">
        <w:rPr>
          <w:lang w:val="fr-CA"/>
        </w:rPr>
        <w:t>lait végétal</w:t>
      </w:r>
      <w:r>
        <w:rPr>
          <w:lang w:val="fr-CA"/>
        </w:rPr>
        <w:t xml:space="preserve"> dans </w:t>
      </w:r>
      <w:r w:rsidR="00B72383">
        <w:rPr>
          <w:lang w:val="fr-CA"/>
        </w:rPr>
        <w:t>leurs</w:t>
      </w:r>
      <w:r>
        <w:rPr>
          <w:lang w:val="fr-CA"/>
        </w:rPr>
        <w:t xml:space="preserve"> breuvages</w:t>
      </w:r>
      <w:r w:rsidRPr="00E50678" w:rsidR="00BC0C66">
        <w:rPr>
          <w:lang w:val="fr-CA"/>
        </w:rPr>
        <w:t xml:space="preserve">, alors </w:t>
      </w:r>
      <w:r w:rsidRPr="00E50678">
        <w:rPr>
          <w:lang w:val="fr-CA"/>
        </w:rPr>
        <w:t xml:space="preserve">qu’elles n’encourent </w:t>
      </w:r>
      <w:r w:rsidRPr="00E50678">
        <w:rPr>
          <w:lang w:val="fr-CA"/>
        </w:rPr>
        <w:t>aucun coût</w:t>
      </w:r>
      <w:r w:rsidRPr="00E50678">
        <w:rPr>
          <w:lang w:val="fr-CA"/>
        </w:rPr>
        <w:t xml:space="preserve"> additionnel</w:t>
      </w:r>
      <w:r>
        <w:rPr>
          <w:rStyle w:val="FootnoteReference"/>
          <w:lang w:val="fr-CA"/>
        </w:rPr>
        <w:footnoteReference w:id="29"/>
      </w:r>
      <w:r>
        <w:rPr>
          <w:lang w:val="fr-CA"/>
        </w:rPr>
        <w:t>;</w:t>
      </w:r>
    </w:p>
    <w:p w:rsidR="00E50678" w:rsidP="00B9454A" w14:paraId="1B81096E" w14:textId="1791F84B">
      <w:pPr>
        <w:pStyle w:val="Sous-paragraphe"/>
        <w:rPr>
          <w:lang w:val="fr-CA"/>
        </w:rPr>
      </w:pPr>
      <w:r>
        <w:rPr>
          <w:lang w:val="fr-CA"/>
        </w:rPr>
        <w:t>L</w:t>
      </w:r>
      <w:r w:rsidRPr="00174DDC">
        <w:rPr>
          <w:lang w:val="fr-CA"/>
        </w:rPr>
        <w:t>e</w:t>
      </w:r>
      <w:r>
        <w:rPr>
          <w:lang w:val="fr-CA"/>
        </w:rPr>
        <w:t xml:space="preserve"> supplément est disproportionné et il est </w:t>
      </w:r>
      <w:r w:rsidR="001B3359">
        <w:rPr>
          <w:lang w:val="fr-CA"/>
        </w:rPr>
        <w:t xml:space="preserve">objectivement </w:t>
      </w:r>
      <w:r w:rsidRPr="00174DDC">
        <w:rPr>
          <w:lang w:val="fr-CA"/>
        </w:rPr>
        <w:t>lésionnaire au sens de l’article 8 L.p.c.</w:t>
      </w:r>
      <w:r>
        <w:rPr>
          <w:rStyle w:val="FootnoteReference"/>
          <w:lang w:val="fr-CA"/>
        </w:rPr>
        <w:footnoteReference w:id="30"/>
      </w:r>
      <w:r w:rsidR="00652A42">
        <w:rPr>
          <w:lang w:val="fr-CA"/>
        </w:rPr>
        <w:t xml:space="preserve">, en plus d’être abusif au sens de l’article </w:t>
      </w:r>
      <w:r w:rsidRPr="00174DDC" w:rsidR="00652A42">
        <w:rPr>
          <w:lang w:val="fr-CA"/>
        </w:rPr>
        <w:t>1437 C.c.Q</w:t>
      </w:r>
      <w:r w:rsidR="00652A42">
        <w:rPr>
          <w:lang w:val="fr-CA"/>
        </w:rPr>
        <w:t>;</w:t>
      </w:r>
    </w:p>
    <w:p w:rsidR="00E50678" w:rsidP="00B9454A" w14:paraId="64C8E713" w14:textId="70139D8A">
      <w:pPr>
        <w:pStyle w:val="Sous-paragraphe"/>
        <w:rPr>
          <w:lang w:val="fr-CA"/>
        </w:rPr>
      </w:pPr>
      <w:r>
        <w:rPr>
          <w:lang w:val="fr-CA"/>
        </w:rPr>
        <w:t>Les défenderesses exploitent les chaînes de restaurants Second Cup, Starbucks et Tim Hortons à titre de franchiseur</w:t>
      </w:r>
      <w:r w:rsidR="008A2600">
        <w:rPr>
          <w:lang w:val="fr-CA"/>
        </w:rPr>
        <w:t>s</w:t>
      </w:r>
      <w:r>
        <w:rPr>
          <w:lang w:val="fr-CA"/>
        </w:rPr>
        <w:t xml:space="preserve"> et ce sont elles qui fixent le prix auquel les franchisés vendent leurs produits, incluant le montant du supplément facturé pour les substituts laitiers</w:t>
      </w:r>
      <w:r>
        <w:rPr>
          <w:rStyle w:val="FootnoteReference"/>
          <w:lang w:val="fr-CA"/>
        </w:rPr>
        <w:footnoteReference w:id="31"/>
      </w:r>
      <w:r w:rsidR="0051347C">
        <w:rPr>
          <w:lang w:val="fr-CA"/>
        </w:rPr>
        <w:t>;</w:t>
      </w:r>
    </w:p>
    <w:p w:rsidR="00E04189" w:rsidRPr="00FC4BA3" w:rsidP="00FC4BA3" w14:paraId="7562D646" w14:textId="3B8F9FF5">
      <w:pPr>
        <w:pStyle w:val="Sous-paragraphe"/>
        <w:rPr>
          <w:lang w:val="fr-CA"/>
        </w:rPr>
      </w:pPr>
      <w:r>
        <w:rPr>
          <w:lang w:val="fr-CA"/>
        </w:rPr>
        <w:t>La demanderesse et les membres putatifs du groupe sont</w:t>
      </w:r>
      <w:r w:rsidR="00FC4BA3">
        <w:rPr>
          <w:lang w:val="fr-CA"/>
        </w:rPr>
        <w:t xml:space="preserve"> </w:t>
      </w:r>
      <w:r>
        <w:rPr>
          <w:lang w:val="fr-CA"/>
        </w:rPr>
        <w:t xml:space="preserve">en droit de leur réclamer des </w:t>
      </w:r>
      <w:r w:rsidR="00B35B47">
        <w:rPr>
          <w:lang w:val="fr-CA"/>
        </w:rPr>
        <w:t xml:space="preserve">dommages compensatoires (ou, subsidiairement, une réduction de prix) </w:t>
      </w:r>
      <w:r>
        <w:rPr>
          <w:lang w:val="fr-CA"/>
        </w:rPr>
        <w:t>et</w:t>
      </w:r>
      <w:r w:rsidR="00B35B47">
        <w:rPr>
          <w:lang w:val="fr-CA"/>
        </w:rPr>
        <w:t xml:space="preserve"> des dommages punitifs en vertu de l’article 272 L.p.c.</w:t>
      </w:r>
      <w:r w:rsidR="00652A42">
        <w:rPr>
          <w:lang w:val="fr-CA"/>
        </w:rPr>
        <w:t xml:space="preserve"> aux défenderesses</w:t>
      </w:r>
      <w:r w:rsidR="0051347C">
        <w:rPr>
          <w:lang w:val="fr-CA"/>
        </w:rPr>
        <w:t>.</w:t>
      </w:r>
    </w:p>
    <w:p w:rsidR="007D0AA2" w:rsidP="00384726" w14:paraId="10E8937F" w14:textId="0B8A4E8C">
      <w:pPr>
        <w:pStyle w:val="Paragrdouble"/>
        <w:spacing w:line="240" w:lineRule="auto"/>
        <w:rPr>
          <w:lang w:val="fr-CA"/>
        </w:rPr>
      </w:pPr>
      <w:r w:rsidRPr="00415315">
        <w:rPr>
          <w:lang w:val="fr-CA"/>
        </w:rPr>
        <w:t xml:space="preserve">L’élément central du syllogisme juridique proposé par la demanderesse est que le coût d’approvisionnement en lait de vache des défenderesses ou de leurs franchisés est similaire à leur coût d’approvisionnement en substituts laitiers. </w:t>
      </w:r>
      <w:r w:rsidR="0051347C">
        <w:rPr>
          <w:lang w:val="fr-CA"/>
        </w:rPr>
        <w:t>Cependant</w:t>
      </w:r>
      <w:r w:rsidRPr="00415315">
        <w:rPr>
          <w:lang w:val="fr-CA"/>
        </w:rPr>
        <w:t xml:space="preserve">, la demanderesse n’allègue aucun fait </w:t>
      </w:r>
      <w:r w:rsidRPr="00415315" w:rsidR="007F6409">
        <w:rPr>
          <w:lang w:val="fr-CA"/>
        </w:rPr>
        <w:t xml:space="preserve">et ne produit aucun élément de preuve </w:t>
      </w:r>
      <w:r w:rsidRPr="00415315">
        <w:rPr>
          <w:lang w:val="fr-CA"/>
        </w:rPr>
        <w:t>qui permettrait de soutenir que c’est le cas.</w:t>
      </w:r>
      <w:r w:rsidRPr="00415315" w:rsidR="00CA67A5">
        <w:rPr>
          <w:lang w:val="fr-CA"/>
        </w:rPr>
        <w:t xml:space="preserve"> </w:t>
      </w:r>
    </w:p>
    <w:p w:rsidR="004246AF" w:rsidRPr="007D0AA2" w:rsidP="00385D77" w14:paraId="50ABE384" w14:textId="5F4F28DC">
      <w:pPr>
        <w:pStyle w:val="Paragrdouble"/>
        <w:spacing w:line="240" w:lineRule="auto"/>
        <w:rPr>
          <w:lang w:val="fr-CA"/>
        </w:rPr>
      </w:pPr>
      <w:r w:rsidRPr="007D0AA2">
        <w:rPr>
          <w:lang w:val="fr-CA"/>
        </w:rPr>
        <w:t>En effet, l</w:t>
      </w:r>
      <w:r w:rsidRPr="007D0AA2" w:rsidR="00FF4DB7">
        <w:rPr>
          <w:lang w:val="fr-CA"/>
        </w:rPr>
        <w:t>es</w:t>
      </w:r>
      <w:r w:rsidRPr="007D0AA2" w:rsidR="009B2F95">
        <w:rPr>
          <w:lang w:val="fr-CA"/>
        </w:rPr>
        <w:t xml:space="preserve"> seuls éléments de preuve</w:t>
      </w:r>
      <w:r w:rsidRPr="007D0AA2" w:rsidR="00CA67A5">
        <w:rPr>
          <w:lang w:val="fr-CA"/>
        </w:rPr>
        <w:t xml:space="preserve"> </w:t>
      </w:r>
      <w:r w:rsidRPr="007D0AA2" w:rsidR="007F6409">
        <w:rPr>
          <w:lang w:val="fr-CA"/>
        </w:rPr>
        <w:t xml:space="preserve">qu’elle produit au soutien de sa </w:t>
      </w:r>
      <w:r w:rsidRPr="007D0AA2" w:rsidR="0033722E">
        <w:rPr>
          <w:lang w:val="fr-CA"/>
        </w:rPr>
        <w:t>Demande d’autorisation</w:t>
      </w:r>
      <w:r w:rsidRPr="007D0AA2" w:rsidR="007F6409">
        <w:rPr>
          <w:lang w:val="fr-CA"/>
        </w:rPr>
        <w:t xml:space="preserve"> concernent</w:t>
      </w:r>
      <w:r w:rsidRPr="007D0AA2" w:rsidR="009B2F95">
        <w:rPr>
          <w:lang w:val="fr-CA"/>
        </w:rPr>
        <w:t xml:space="preserve"> le prix de</w:t>
      </w:r>
      <w:r w:rsidRPr="007D0AA2" w:rsidR="007F6409">
        <w:rPr>
          <w:lang w:val="fr-CA"/>
        </w:rPr>
        <w:t xml:space="preserve"> vente </w:t>
      </w:r>
      <w:r w:rsidRPr="007D0AA2" w:rsidR="007F6409">
        <w:rPr>
          <w:u w:val="single"/>
          <w:lang w:val="fr-CA"/>
        </w:rPr>
        <w:t>au détail</w:t>
      </w:r>
      <w:r w:rsidRPr="007D0AA2" w:rsidR="007F6409">
        <w:rPr>
          <w:lang w:val="fr-CA"/>
        </w:rPr>
        <w:t xml:space="preserve"> de</w:t>
      </w:r>
      <w:r w:rsidRPr="007D0AA2" w:rsidR="009B2F95">
        <w:rPr>
          <w:lang w:val="fr-CA"/>
        </w:rPr>
        <w:t xml:space="preserve">s différentes sortes de laits. </w:t>
      </w:r>
      <w:r w:rsidRPr="007D0AA2" w:rsidR="007F6409">
        <w:rPr>
          <w:lang w:val="fr-CA"/>
        </w:rPr>
        <w:t xml:space="preserve">Par exemple, la demanderesse </w:t>
      </w:r>
      <w:r w:rsidRPr="007D0AA2" w:rsidR="00C06BCA">
        <w:rPr>
          <w:lang w:val="fr-CA"/>
        </w:rPr>
        <w:t xml:space="preserve">produit </w:t>
      </w:r>
      <w:r w:rsidRPr="007D0AA2">
        <w:rPr>
          <w:lang w:val="fr-CA"/>
        </w:rPr>
        <w:t>le sommaire d’une</w:t>
      </w:r>
      <w:r w:rsidRPr="007D0AA2" w:rsidR="00A36300">
        <w:rPr>
          <w:lang w:val="fr-CA"/>
        </w:rPr>
        <w:t xml:space="preserve"> étude du Laboratoire de Sciences Analytiques en Agroalimentaire de l’Université Dalhousie comparant les prix au détail du lait de vache et des substituts laitiers à travers le pays. Cette étude démontre</w:t>
      </w:r>
      <w:r w:rsidRPr="007D0AA2">
        <w:rPr>
          <w:lang w:val="fr-CA"/>
        </w:rPr>
        <w:t>rait</w:t>
      </w:r>
      <w:r w:rsidRPr="007D0AA2" w:rsidR="00A36300">
        <w:rPr>
          <w:lang w:val="fr-CA"/>
        </w:rPr>
        <w:t xml:space="preserve"> qu’</w:t>
      </w:r>
      <w:r w:rsidRPr="007D0AA2" w:rsidR="000E0184">
        <w:rPr>
          <w:lang w:val="fr-CA"/>
        </w:rPr>
        <w:t>au Québec</w:t>
      </w:r>
      <w:r w:rsidRPr="007D0AA2" w:rsidR="002B3DEE">
        <w:rPr>
          <w:lang w:val="fr-CA"/>
        </w:rPr>
        <w:t xml:space="preserve">, en 2022, le prix </w:t>
      </w:r>
      <w:r w:rsidRPr="007D0AA2" w:rsidR="000E0184">
        <w:rPr>
          <w:lang w:val="fr-CA"/>
        </w:rPr>
        <w:t xml:space="preserve">de vente au détail </w:t>
      </w:r>
      <w:r w:rsidRPr="007D0AA2" w:rsidR="002B3DEE">
        <w:rPr>
          <w:lang w:val="fr-CA"/>
        </w:rPr>
        <w:t>des substituts de lait était inférieur à celui du lait de vache</w:t>
      </w:r>
      <w:r>
        <w:rPr>
          <w:rStyle w:val="FootnoteReference"/>
          <w:lang w:val="fr-CA"/>
        </w:rPr>
        <w:footnoteReference w:id="32"/>
      </w:r>
      <w:r w:rsidRPr="007D0AA2" w:rsidR="002B3DEE">
        <w:rPr>
          <w:lang w:val="fr-CA"/>
        </w:rPr>
        <w:t xml:space="preserve">. </w:t>
      </w:r>
    </w:p>
    <w:p w:rsidR="004B516F" w:rsidP="00620817" w14:paraId="1422E418" w14:textId="2A97A315">
      <w:pPr>
        <w:pStyle w:val="Paragrdouble"/>
        <w:spacing w:line="240" w:lineRule="auto"/>
        <w:rPr>
          <w:lang w:val="fr-CA"/>
        </w:rPr>
      </w:pPr>
      <w:r>
        <w:rPr>
          <w:lang w:val="fr-CA"/>
        </w:rPr>
        <w:t>Or</w:t>
      </w:r>
      <w:r w:rsidR="00C06BCA">
        <w:rPr>
          <w:lang w:val="fr-CA"/>
        </w:rPr>
        <w:t>,</w:t>
      </w:r>
      <w:r w:rsidR="007F6409">
        <w:rPr>
          <w:lang w:val="fr-CA"/>
        </w:rPr>
        <w:t xml:space="preserve"> r</w:t>
      </w:r>
      <w:r w:rsidR="009B2F95">
        <w:rPr>
          <w:lang w:val="fr-CA"/>
        </w:rPr>
        <w:t xml:space="preserve">ien </w:t>
      </w:r>
      <w:r w:rsidRPr="009B2F95" w:rsidR="002B3DEE">
        <w:rPr>
          <w:lang w:val="fr-CA"/>
        </w:rPr>
        <w:t xml:space="preserve">ne permet </w:t>
      </w:r>
      <w:r w:rsidR="007F6409">
        <w:rPr>
          <w:lang w:val="fr-CA"/>
        </w:rPr>
        <w:t>d’inférer</w:t>
      </w:r>
      <w:r w:rsidRPr="009B2F95" w:rsidR="002B3DEE">
        <w:rPr>
          <w:lang w:val="fr-CA"/>
        </w:rPr>
        <w:t xml:space="preserve"> que le même phénomène </w:t>
      </w:r>
      <w:r w:rsidR="006D334E">
        <w:rPr>
          <w:lang w:val="fr-CA"/>
        </w:rPr>
        <w:t>s’observe</w:t>
      </w:r>
      <w:r w:rsidRPr="009B2F95" w:rsidR="002B3DEE">
        <w:rPr>
          <w:lang w:val="fr-CA"/>
        </w:rPr>
        <w:t xml:space="preserve"> dans </w:t>
      </w:r>
      <w:r w:rsidRPr="009B2F95" w:rsidR="000E0184">
        <w:rPr>
          <w:lang w:val="fr-CA"/>
        </w:rPr>
        <w:t>le marché de gros.</w:t>
      </w:r>
      <w:r w:rsidR="009B2F95">
        <w:rPr>
          <w:lang w:val="fr-CA"/>
        </w:rPr>
        <w:t xml:space="preserve"> </w:t>
      </w:r>
      <w:r w:rsidR="00C06BCA">
        <w:rPr>
          <w:lang w:val="fr-CA"/>
        </w:rPr>
        <w:t>Une telle inférence ne tombe</w:t>
      </w:r>
      <w:r w:rsidR="006D334E">
        <w:rPr>
          <w:lang w:val="fr-CA"/>
        </w:rPr>
        <w:t xml:space="preserve"> </w:t>
      </w:r>
      <w:r w:rsidR="00C06BCA">
        <w:rPr>
          <w:lang w:val="fr-CA"/>
        </w:rPr>
        <w:t>pas sous le sens</w:t>
      </w:r>
      <w:r w:rsidR="0061741E">
        <w:rPr>
          <w:lang w:val="fr-CA"/>
        </w:rPr>
        <w:t>,</w:t>
      </w:r>
      <w:r w:rsidR="004246AF">
        <w:rPr>
          <w:lang w:val="fr-CA"/>
        </w:rPr>
        <w:t xml:space="preserve"> </w:t>
      </w:r>
      <w:r w:rsidR="007F6409">
        <w:rPr>
          <w:lang w:val="fr-CA"/>
        </w:rPr>
        <w:t xml:space="preserve">lorsque l’on considère </w:t>
      </w:r>
      <w:r w:rsidR="00B332AD">
        <w:rPr>
          <w:lang w:val="fr-CA"/>
        </w:rPr>
        <w:t>que</w:t>
      </w:r>
      <w:r w:rsidR="009B2F95">
        <w:rPr>
          <w:lang w:val="fr-CA"/>
        </w:rPr>
        <w:t xml:space="preserve"> le prix de vente au détail du lait de vache est réglementé</w:t>
      </w:r>
      <w:r w:rsidR="00B332AD">
        <w:rPr>
          <w:lang w:val="fr-CA"/>
        </w:rPr>
        <w:t xml:space="preserve"> au Québec</w:t>
      </w:r>
      <w:r>
        <w:rPr>
          <w:rStyle w:val="FootnoteReference"/>
          <w:lang w:val="fr-CA"/>
        </w:rPr>
        <w:footnoteReference w:id="33"/>
      </w:r>
      <w:r w:rsidR="00681411">
        <w:rPr>
          <w:lang w:val="fr-CA"/>
        </w:rPr>
        <w:t xml:space="preserve">, </w:t>
      </w:r>
      <w:r w:rsidR="004246AF">
        <w:rPr>
          <w:lang w:val="fr-CA"/>
        </w:rPr>
        <w:t xml:space="preserve">alors que le prix </w:t>
      </w:r>
      <w:r w:rsidR="00681411">
        <w:rPr>
          <w:lang w:val="fr-CA"/>
        </w:rPr>
        <w:t>des laits végétaux ne l’est pas</w:t>
      </w:r>
      <w:r w:rsidR="004246AF">
        <w:rPr>
          <w:lang w:val="fr-CA"/>
        </w:rPr>
        <w:t>.</w:t>
      </w:r>
    </w:p>
    <w:p w:rsidR="00B72383" w:rsidP="00620817" w14:paraId="03F5C516" w14:textId="7D41FE07">
      <w:pPr>
        <w:pStyle w:val="Paragrdouble"/>
        <w:spacing w:line="240" w:lineRule="auto"/>
        <w:rPr>
          <w:lang w:val="fr-CA"/>
        </w:rPr>
      </w:pPr>
      <w:r>
        <w:rPr>
          <w:lang w:val="fr-CA"/>
        </w:rPr>
        <w:t>En somme, la</w:t>
      </w:r>
      <w:r w:rsidR="00B332AD">
        <w:rPr>
          <w:lang w:val="fr-CA"/>
        </w:rPr>
        <w:t xml:space="preserve"> demanderesse </w:t>
      </w:r>
      <w:r w:rsidRPr="006D334E" w:rsidR="00B332AD">
        <w:rPr>
          <w:u w:val="single"/>
          <w:lang w:val="fr-CA"/>
        </w:rPr>
        <w:t>présume</w:t>
      </w:r>
      <w:r w:rsidR="00B332AD">
        <w:rPr>
          <w:lang w:val="fr-CA"/>
        </w:rPr>
        <w:t xml:space="preserve"> que si le prix au détail du lait de vache est similaire à celui des substituts laitiers, alors il en va de même des prix de gros. Il s’agit d’une hypothèse qui ne peut pas être tenue pour avérée, car elle ne prend appui sur aucun élément de preuve</w:t>
      </w:r>
      <w:r>
        <w:rPr>
          <w:rStyle w:val="FootnoteReference"/>
          <w:lang w:val="fr-CA"/>
        </w:rPr>
        <w:footnoteReference w:id="34"/>
      </w:r>
      <w:r w:rsidR="00B332AD">
        <w:rPr>
          <w:lang w:val="fr-CA"/>
        </w:rPr>
        <w:t>.</w:t>
      </w:r>
    </w:p>
    <w:p w:rsidR="001B7031" w:rsidP="001B7031" w14:paraId="4CE921BB" w14:textId="3E7FEBA2">
      <w:pPr>
        <w:pStyle w:val="Paragrdouble"/>
        <w:spacing w:line="240" w:lineRule="auto"/>
        <w:rPr>
          <w:lang w:val="fr-CA"/>
        </w:rPr>
      </w:pPr>
      <w:r>
        <w:rPr>
          <w:lang w:val="fr-CA"/>
        </w:rPr>
        <w:t xml:space="preserve">Il est vrai que la demanderesse </w:t>
      </w:r>
      <w:r w:rsidR="00415315">
        <w:rPr>
          <w:lang w:val="fr-CA"/>
        </w:rPr>
        <w:t xml:space="preserve">n’a </w:t>
      </w:r>
      <w:r>
        <w:rPr>
          <w:lang w:val="fr-CA"/>
        </w:rPr>
        <w:t xml:space="preserve">pas </w:t>
      </w:r>
      <w:r w:rsidR="00415315">
        <w:rPr>
          <w:lang w:val="fr-CA"/>
        </w:rPr>
        <w:t xml:space="preserve">accès </w:t>
      </w:r>
      <w:r w:rsidR="006D334E">
        <w:rPr>
          <w:lang w:val="fr-CA"/>
        </w:rPr>
        <w:t>aux</w:t>
      </w:r>
      <w:r>
        <w:rPr>
          <w:lang w:val="fr-CA"/>
        </w:rPr>
        <w:t xml:space="preserve"> coûts </w:t>
      </w:r>
      <w:r w:rsidR="006D334E">
        <w:rPr>
          <w:lang w:val="fr-CA"/>
        </w:rPr>
        <w:t>de gros payés par les</w:t>
      </w:r>
      <w:r>
        <w:rPr>
          <w:lang w:val="fr-CA"/>
        </w:rPr>
        <w:t xml:space="preserve"> défenderesses ou leurs franchisés. La jurisprudence reconnaît que</w:t>
      </w:r>
      <w:r w:rsidR="00F50F7A">
        <w:rPr>
          <w:lang w:val="fr-CA"/>
        </w:rPr>
        <w:t>,</w:t>
      </w:r>
      <w:r>
        <w:rPr>
          <w:lang w:val="fr-CA"/>
        </w:rPr>
        <w:t xml:space="preserve"> dans l’analyse d’une demande </w:t>
      </w:r>
      <w:r w:rsidR="0033722E">
        <w:rPr>
          <w:lang w:val="fr-CA"/>
        </w:rPr>
        <w:t>d’</w:t>
      </w:r>
      <w:r>
        <w:rPr>
          <w:lang w:val="fr-CA"/>
        </w:rPr>
        <w:t xml:space="preserve">autorisation d’exercer une action collective fondée sur la lésion objective, il faut tenir compte de cette réalité et tolérer </w:t>
      </w:r>
      <w:r w:rsidR="00415315">
        <w:rPr>
          <w:lang w:val="fr-CA"/>
        </w:rPr>
        <w:t>qu’une</w:t>
      </w:r>
      <w:r>
        <w:rPr>
          <w:lang w:val="fr-CA"/>
        </w:rPr>
        <w:t xml:space="preserve"> partie </w:t>
      </w:r>
      <w:r w:rsidR="00415315">
        <w:rPr>
          <w:lang w:val="fr-CA"/>
        </w:rPr>
        <w:t>demanderesse</w:t>
      </w:r>
      <w:r>
        <w:rPr>
          <w:lang w:val="fr-CA"/>
        </w:rPr>
        <w:t xml:space="preserve"> réfère à une preuve indirecte des coûts </w:t>
      </w:r>
      <w:r w:rsidR="00415315">
        <w:rPr>
          <w:lang w:val="fr-CA"/>
        </w:rPr>
        <w:t>du</w:t>
      </w:r>
      <w:r>
        <w:rPr>
          <w:lang w:val="fr-CA"/>
        </w:rPr>
        <w:t xml:space="preserve"> </w:t>
      </w:r>
      <w:r w:rsidR="00415315">
        <w:rPr>
          <w:lang w:val="fr-CA"/>
        </w:rPr>
        <w:t>défendeur</w:t>
      </w:r>
      <w:r>
        <w:rPr>
          <w:lang w:val="fr-CA"/>
        </w:rPr>
        <w:t>, tel que le prix exigé par d’autres commerçants pour le même produit ou service ou des rapports externes, par exemple</w:t>
      </w:r>
      <w:r>
        <w:rPr>
          <w:rStyle w:val="FootnoteReference"/>
          <w:lang w:val="fr-CA"/>
        </w:rPr>
        <w:footnoteReference w:id="35"/>
      </w:r>
      <w:r>
        <w:rPr>
          <w:lang w:val="fr-CA"/>
        </w:rPr>
        <w:t xml:space="preserve">. </w:t>
      </w:r>
    </w:p>
    <w:p w:rsidR="001B7031" w:rsidP="001B7031" w14:paraId="4DBF286C" w14:textId="41794A4B">
      <w:pPr>
        <w:pStyle w:val="Paragrdouble"/>
        <w:spacing w:line="240" w:lineRule="auto"/>
        <w:rPr>
          <w:lang w:val="fr-CA"/>
        </w:rPr>
      </w:pPr>
      <w:r>
        <w:rPr>
          <w:lang w:val="fr-CA"/>
        </w:rPr>
        <w:t xml:space="preserve">Dans le présent dossier, la preuve </w:t>
      </w:r>
      <w:r w:rsidR="00415315">
        <w:rPr>
          <w:lang w:val="fr-CA"/>
        </w:rPr>
        <w:t>concernant le prix de vente au détail des différentes sortes de laits n’est toutefois pas une preuve indirecte acceptable des coûts des défenderesses. Comme déjà noté</w:t>
      </w:r>
      <w:r>
        <w:rPr>
          <w:lang w:val="fr-CA"/>
        </w:rPr>
        <w:t xml:space="preserve">, le prix du lait de vache est réglementé dans la vente au détail, mais il ne l’est pas dans la vente en gros, </w:t>
      </w:r>
      <w:r w:rsidR="00415315">
        <w:rPr>
          <w:lang w:val="fr-CA"/>
        </w:rPr>
        <w:t xml:space="preserve">pas plus que le prix de vente des laits végétaux dans les deux marchés. Il est donc impossible d’inférer que les écarts que l’on observe dans le prix des différentes sortes de laits vendus au détail </w:t>
      </w:r>
      <w:r w:rsidR="00F1701D">
        <w:rPr>
          <w:lang w:val="fr-CA"/>
        </w:rPr>
        <w:t xml:space="preserve">peuvent également être observés </w:t>
      </w:r>
      <w:r w:rsidR="00415315">
        <w:rPr>
          <w:lang w:val="fr-CA"/>
        </w:rPr>
        <w:t>dans le marché de gros.</w:t>
      </w:r>
    </w:p>
    <w:p w:rsidR="00B867A0" w:rsidRPr="007F6409" w:rsidP="00D9199E" w14:paraId="538C2912" w14:textId="556651AE">
      <w:pPr>
        <w:pStyle w:val="Paragrdouble"/>
        <w:spacing w:line="240" w:lineRule="auto"/>
        <w:rPr>
          <w:lang w:val="fr-CA"/>
        </w:rPr>
      </w:pPr>
      <w:r w:rsidRPr="007F6409">
        <w:rPr>
          <w:lang w:val="fr-CA"/>
        </w:rPr>
        <w:t>En somme,</w:t>
      </w:r>
      <w:r w:rsidR="00C06BCA">
        <w:rPr>
          <w:lang w:val="fr-CA"/>
        </w:rPr>
        <w:t xml:space="preserve"> le syllogisme juridique mis de l’avant dans la </w:t>
      </w:r>
      <w:r w:rsidR="0033722E">
        <w:rPr>
          <w:lang w:val="fr-CA"/>
        </w:rPr>
        <w:t>Demande d’autorisation</w:t>
      </w:r>
      <w:r w:rsidR="00C06BCA">
        <w:rPr>
          <w:lang w:val="fr-CA"/>
        </w:rPr>
        <w:t xml:space="preserve"> repose entièrement sur une </w:t>
      </w:r>
      <w:r w:rsidR="00B83779">
        <w:rPr>
          <w:lang w:val="fr-CA"/>
        </w:rPr>
        <w:t xml:space="preserve">inférence ou une </w:t>
      </w:r>
      <w:r w:rsidRPr="007F6409">
        <w:rPr>
          <w:lang w:val="fr-CA"/>
        </w:rPr>
        <w:t xml:space="preserve">hypothèse </w:t>
      </w:r>
      <w:r w:rsidR="00C06BCA">
        <w:rPr>
          <w:lang w:val="fr-CA"/>
        </w:rPr>
        <w:t xml:space="preserve">qui </w:t>
      </w:r>
      <w:r w:rsidRPr="007F6409">
        <w:rPr>
          <w:lang w:val="fr-CA"/>
        </w:rPr>
        <w:t xml:space="preserve">ne </w:t>
      </w:r>
      <w:r w:rsidR="000B3CBE">
        <w:rPr>
          <w:lang w:val="fr-CA"/>
        </w:rPr>
        <w:t>prend</w:t>
      </w:r>
      <w:r w:rsidRPr="007F6409">
        <w:rPr>
          <w:lang w:val="fr-CA"/>
        </w:rPr>
        <w:t xml:space="preserve"> pas appui sur la preuve produite </w:t>
      </w:r>
      <w:r w:rsidR="00631914">
        <w:rPr>
          <w:lang w:val="fr-CA"/>
        </w:rPr>
        <w:t>à son soutien</w:t>
      </w:r>
      <w:r w:rsidRPr="007F6409">
        <w:rPr>
          <w:lang w:val="fr-CA"/>
        </w:rPr>
        <w:t>. C’est vraisemblablement pourquoi</w:t>
      </w:r>
      <w:r w:rsidR="00F50F7A">
        <w:rPr>
          <w:lang w:val="fr-CA"/>
        </w:rPr>
        <w:t>,</w:t>
      </w:r>
      <w:r w:rsidRPr="007F6409">
        <w:rPr>
          <w:lang w:val="fr-CA"/>
        </w:rPr>
        <w:t xml:space="preserve"> au paragraphe 6 de sa </w:t>
      </w:r>
      <w:r w:rsidR="0033722E">
        <w:rPr>
          <w:lang w:val="fr-CA"/>
        </w:rPr>
        <w:t>Demande d’autorisation</w:t>
      </w:r>
      <w:r w:rsidRPr="007F6409">
        <w:rPr>
          <w:lang w:val="fr-CA"/>
        </w:rPr>
        <w:t xml:space="preserve">, </w:t>
      </w:r>
      <w:r w:rsidR="00631914">
        <w:rPr>
          <w:lang w:val="fr-CA"/>
        </w:rPr>
        <w:t>la demanderesse</w:t>
      </w:r>
      <w:r w:rsidRPr="007F6409">
        <w:rPr>
          <w:lang w:val="fr-CA"/>
        </w:rPr>
        <w:t xml:space="preserve"> invite les défenderesses à faire la preuve </w:t>
      </w:r>
      <w:r w:rsidR="00C06BCA">
        <w:rPr>
          <w:lang w:val="fr-CA"/>
        </w:rPr>
        <w:t>de leurs</w:t>
      </w:r>
      <w:r w:rsidRPr="007F6409">
        <w:rPr>
          <w:lang w:val="fr-CA"/>
        </w:rPr>
        <w:t xml:space="preserve"> coûts </w:t>
      </w:r>
      <w:r w:rsidR="00C06BCA">
        <w:rPr>
          <w:lang w:val="fr-CA"/>
        </w:rPr>
        <w:t>d’approvisionnement</w:t>
      </w:r>
      <w:r w:rsidRPr="007F6409">
        <w:rPr>
          <w:lang w:val="fr-CA"/>
        </w:rPr>
        <w:t xml:space="preserve"> en vue du débat sur l’autorisation.</w:t>
      </w:r>
    </w:p>
    <w:p w:rsidR="006633D0" w:rsidRPr="00823984" w:rsidP="00CD4F89" w14:paraId="042C6A5B" w14:textId="73A0555A">
      <w:pPr>
        <w:pStyle w:val="Heading3"/>
        <w:rPr>
          <w:lang w:val="fr-CA"/>
        </w:rPr>
      </w:pPr>
      <w:r>
        <w:rPr>
          <w:lang w:val="fr-CA"/>
        </w:rPr>
        <w:t>Preuve des</w:t>
      </w:r>
      <w:r w:rsidR="00F521AA">
        <w:rPr>
          <w:lang w:val="fr-CA"/>
        </w:rPr>
        <w:t xml:space="preserve"> </w:t>
      </w:r>
      <w:r>
        <w:rPr>
          <w:lang w:val="fr-CA"/>
        </w:rPr>
        <w:t>défenderesses</w:t>
      </w:r>
    </w:p>
    <w:p w:rsidR="00EF05F8" w:rsidP="008C21FB" w14:paraId="786BD4C5" w14:textId="11128B12">
      <w:pPr>
        <w:pStyle w:val="Paragrdouble"/>
        <w:spacing w:line="240" w:lineRule="auto"/>
        <w:rPr>
          <w:lang w:val="fr-CA"/>
        </w:rPr>
      </w:pPr>
      <w:r>
        <w:rPr>
          <w:lang w:val="fr-CA"/>
        </w:rPr>
        <w:t>Pour donner suite à</w:t>
      </w:r>
      <w:r w:rsidR="008A2600">
        <w:rPr>
          <w:lang w:val="fr-CA"/>
        </w:rPr>
        <w:t xml:space="preserve"> l’invitation faite dans la </w:t>
      </w:r>
      <w:r w:rsidR="0033722E">
        <w:rPr>
          <w:lang w:val="fr-CA"/>
        </w:rPr>
        <w:t>Demande d’autorisation</w:t>
      </w:r>
      <w:r w:rsidR="008A2600">
        <w:rPr>
          <w:lang w:val="fr-CA"/>
        </w:rPr>
        <w:t>, les</w:t>
      </w:r>
      <w:r w:rsidRPr="000E0184">
        <w:rPr>
          <w:lang w:val="fr-CA"/>
        </w:rPr>
        <w:t xml:space="preserve"> défenderesses ont obtenu l’autorisation de produire des déclarations sous serment </w:t>
      </w:r>
      <w:r w:rsidRPr="000E0184" w:rsidR="008964B9">
        <w:rPr>
          <w:lang w:val="fr-CA"/>
        </w:rPr>
        <w:t>comparant le</w:t>
      </w:r>
      <w:r w:rsidR="006D334E">
        <w:rPr>
          <w:lang w:val="fr-CA"/>
        </w:rPr>
        <w:t>ur</w:t>
      </w:r>
      <w:r w:rsidRPr="000E0184" w:rsidR="008964B9">
        <w:rPr>
          <w:lang w:val="fr-CA"/>
        </w:rPr>
        <w:t xml:space="preserve">s coûts </w:t>
      </w:r>
      <w:r w:rsidR="00B83779">
        <w:rPr>
          <w:lang w:val="fr-CA"/>
        </w:rPr>
        <w:t>d’approvisionnement en</w:t>
      </w:r>
      <w:r w:rsidRPr="000E0184" w:rsidR="008964B9">
        <w:rPr>
          <w:lang w:val="fr-CA"/>
        </w:rPr>
        <w:t xml:space="preserve"> lait de vache et </w:t>
      </w:r>
      <w:r w:rsidR="00B83779">
        <w:rPr>
          <w:lang w:val="fr-CA"/>
        </w:rPr>
        <w:t xml:space="preserve">en </w:t>
      </w:r>
      <w:r w:rsidRPr="000E0184" w:rsidR="008964B9">
        <w:rPr>
          <w:lang w:val="fr-CA"/>
        </w:rPr>
        <w:t>substituts laitiers</w:t>
      </w:r>
      <w:r w:rsidRPr="000E0184">
        <w:rPr>
          <w:lang w:val="fr-CA"/>
        </w:rPr>
        <w:t>.</w:t>
      </w:r>
      <w:r w:rsidR="00631914">
        <w:rPr>
          <w:lang w:val="fr-CA"/>
        </w:rPr>
        <w:t xml:space="preserve"> </w:t>
      </w:r>
      <w:r w:rsidR="00631914">
        <w:rPr>
          <w:lang w:val="fr-CA"/>
        </w:rPr>
        <w:t xml:space="preserve">Puisque cette preuve contient des informations commerciales sensibles concernant des </w:t>
      </w:r>
      <w:r w:rsidR="00B83779">
        <w:rPr>
          <w:lang w:val="fr-CA"/>
        </w:rPr>
        <w:t>fournisseurs</w:t>
      </w:r>
      <w:r w:rsidR="00631914">
        <w:rPr>
          <w:lang w:val="fr-CA"/>
        </w:rPr>
        <w:t xml:space="preserve">, </w:t>
      </w:r>
      <w:r w:rsidR="00982A23">
        <w:rPr>
          <w:lang w:val="fr-CA"/>
        </w:rPr>
        <w:t xml:space="preserve">le Tribunal a permis qu’elle soit </w:t>
      </w:r>
      <w:r w:rsidR="00631914">
        <w:rPr>
          <w:lang w:val="fr-CA"/>
        </w:rPr>
        <w:t>produite sous scellé</w:t>
      </w:r>
      <w:r w:rsidR="00982A23">
        <w:rPr>
          <w:lang w:val="fr-CA"/>
        </w:rPr>
        <w:t>s</w:t>
      </w:r>
      <w:r w:rsidR="00631914">
        <w:rPr>
          <w:lang w:val="fr-CA"/>
        </w:rPr>
        <w:t>.</w:t>
      </w:r>
    </w:p>
    <w:p w:rsidR="007F6409" w:rsidP="007F6409" w14:paraId="598999C0" w14:textId="55A0A9BB">
      <w:pPr>
        <w:pStyle w:val="Paragrdouble"/>
        <w:spacing w:line="240" w:lineRule="auto"/>
        <w:rPr>
          <w:lang w:val="fr-CA"/>
        </w:rPr>
      </w:pPr>
      <w:r>
        <w:rPr>
          <w:lang w:val="fr-CA"/>
        </w:rPr>
        <w:t>Les déclarations sous serment des défenderesses indiquent</w:t>
      </w:r>
      <w:r>
        <w:rPr>
          <w:lang w:val="fr-CA"/>
        </w:rPr>
        <w:t xml:space="preserve"> qu</w:t>
      </w:r>
      <w:r>
        <w:rPr>
          <w:lang w:val="fr-CA"/>
        </w:rPr>
        <w:t xml:space="preserve">’elles payent </w:t>
      </w:r>
      <w:r>
        <w:rPr>
          <w:lang w:val="fr-CA"/>
        </w:rPr>
        <w:t xml:space="preserve">les substituts laitiers </w:t>
      </w:r>
      <w:r w:rsidR="00A14FD6">
        <w:rPr>
          <w:lang w:val="fr-CA"/>
        </w:rPr>
        <w:t xml:space="preserve">substantiellement </w:t>
      </w:r>
      <w:r>
        <w:rPr>
          <w:lang w:val="fr-CA"/>
        </w:rPr>
        <w:t>plus cher que le lait de vache, dans une proportion qui varie selon chaque défenderesse.</w:t>
      </w:r>
    </w:p>
    <w:p w:rsidR="00836126" w:rsidP="00FB7E68" w14:paraId="6179396E" w14:textId="1356C002">
      <w:pPr>
        <w:pStyle w:val="Paragrdouble"/>
        <w:spacing w:line="240" w:lineRule="auto"/>
        <w:rPr>
          <w:lang w:val="fr-CA"/>
        </w:rPr>
      </w:pPr>
      <w:r>
        <w:rPr>
          <w:lang w:val="fr-CA"/>
        </w:rPr>
        <w:t>La déclaration sous serment produite par Starbucks</w:t>
      </w:r>
      <w:r w:rsidR="00ED6447">
        <w:rPr>
          <w:lang w:val="fr-CA"/>
        </w:rPr>
        <w:t xml:space="preserve"> Coffee Canada</w:t>
      </w:r>
      <w:r>
        <w:rPr>
          <w:lang w:val="fr-CA"/>
        </w:rPr>
        <w:t xml:space="preserve"> indique </w:t>
      </w:r>
      <w:r w:rsidR="008964B9">
        <w:rPr>
          <w:lang w:val="fr-CA"/>
        </w:rPr>
        <w:t>que durant la période visée par l’action collective, elle</w:t>
      </w:r>
      <w:r>
        <w:rPr>
          <w:lang w:val="fr-CA"/>
        </w:rPr>
        <w:t xml:space="preserve"> payait en moyenne </w:t>
      </w:r>
      <w:r w:rsidRPr="000E0184">
        <w:rPr>
          <w:u w:val="single"/>
          <w:lang w:val="fr-CA"/>
        </w:rPr>
        <w:t>16% de plus</w:t>
      </w:r>
      <w:r>
        <w:rPr>
          <w:lang w:val="fr-CA"/>
        </w:rPr>
        <w:t xml:space="preserve"> pour les substituts laitiers</w:t>
      </w:r>
      <w:r w:rsidR="00974EDB">
        <w:rPr>
          <w:lang w:val="fr-CA"/>
        </w:rPr>
        <w:t xml:space="preserve"> (incluant le</w:t>
      </w:r>
      <w:r w:rsidR="008964B9">
        <w:rPr>
          <w:lang w:val="fr-CA"/>
        </w:rPr>
        <w:t>s laits végétaux et le</w:t>
      </w:r>
      <w:r w:rsidR="00974EDB">
        <w:rPr>
          <w:lang w:val="fr-CA"/>
        </w:rPr>
        <w:t xml:space="preserve"> lait sans lactose)</w:t>
      </w:r>
      <w:r>
        <w:rPr>
          <w:lang w:val="fr-CA"/>
        </w:rPr>
        <w:t xml:space="preserve"> que pour le lait de vache</w:t>
      </w:r>
      <w:r>
        <w:rPr>
          <w:rStyle w:val="FootnoteReference"/>
          <w:lang w:val="fr-CA"/>
        </w:rPr>
        <w:footnoteReference w:id="36"/>
      </w:r>
      <w:r>
        <w:rPr>
          <w:lang w:val="fr-CA"/>
        </w:rPr>
        <w:t>.</w:t>
      </w:r>
    </w:p>
    <w:p w:rsidR="00ED6447" w:rsidP="00FB7E68" w14:paraId="3E642F43" w14:textId="30E96B4B">
      <w:pPr>
        <w:pStyle w:val="Paragrdouble"/>
        <w:spacing w:line="240" w:lineRule="auto"/>
        <w:rPr>
          <w:lang w:val="fr-CA"/>
        </w:rPr>
      </w:pPr>
      <w:r>
        <w:rPr>
          <w:lang w:val="fr-CA"/>
        </w:rPr>
        <w:t xml:space="preserve">La déclaration sous serment produite par Foodtastic indique qu’entre 2021 et 2024, </w:t>
      </w:r>
      <w:r w:rsidR="005740CA">
        <w:rPr>
          <w:lang w:val="fr-CA"/>
        </w:rPr>
        <w:t>SC Coffee Canada</w:t>
      </w:r>
      <w:r w:rsidR="00EB4091">
        <w:rPr>
          <w:lang w:val="fr-CA"/>
        </w:rPr>
        <w:t xml:space="preserve"> inc.</w:t>
      </w:r>
      <w:r w:rsidR="00174DDC">
        <w:rPr>
          <w:lang w:val="fr-CA"/>
        </w:rPr>
        <w:t xml:space="preserve"> </w:t>
      </w:r>
      <w:r w:rsidR="00B83779">
        <w:rPr>
          <w:lang w:val="fr-CA"/>
        </w:rPr>
        <w:t>(</w:t>
      </w:r>
      <w:r w:rsidR="00174DDC">
        <w:rPr>
          <w:lang w:val="fr-CA"/>
        </w:rPr>
        <w:t>le franchiseur des restaurants de la bannière Second Cup</w:t>
      </w:r>
      <w:r w:rsidR="00B83779">
        <w:rPr>
          <w:lang w:val="fr-CA"/>
        </w:rPr>
        <w:t>)</w:t>
      </w:r>
      <w:r w:rsidR="00C06BCA">
        <w:rPr>
          <w:lang w:val="fr-CA"/>
        </w:rPr>
        <w:t>,</w:t>
      </w:r>
      <w:r w:rsidR="00C66B41">
        <w:rPr>
          <w:lang w:val="fr-CA"/>
        </w:rPr>
        <w:t xml:space="preserve"> payait</w:t>
      </w:r>
      <w:r w:rsidR="000E0184">
        <w:rPr>
          <w:lang w:val="fr-CA"/>
        </w:rPr>
        <w:t xml:space="preserve"> en moyenne</w:t>
      </w:r>
      <w:r w:rsidR="00174DDC">
        <w:rPr>
          <w:lang w:val="fr-CA"/>
        </w:rPr>
        <w:t xml:space="preserve"> </w:t>
      </w:r>
      <w:r w:rsidRPr="000E0184" w:rsidR="00174DDC">
        <w:rPr>
          <w:u w:val="single"/>
          <w:lang w:val="fr-CA"/>
        </w:rPr>
        <w:t xml:space="preserve">98 % </w:t>
      </w:r>
      <w:r w:rsidRPr="000E0184" w:rsidR="000E0184">
        <w:rPr>
          <w:u w:val="single"/>
          <w:lang w:val="fr-CA"/>
        </w:rPr>
        <w:t>de plus</w:t>
      </w:r>
      <w:r w:rsidR="00174DDC">
        <w:rPr>
          <w:lang w:val="fr-CA"/>
        </w:rPr>
        <w:t xml:space="preserve"> </w:t>
      </w:r>
      <w:r w:rsidR="005740CA">
        <w:rPr>
          <w:lang w:val="fr-CA"/>
        </w:rPr>
        <w:t>pour les</w:t>
      </w:r>
      <w:r>
        <w:rPr>
          <w:lang w:val="fr-CA"/>
        </w:rPr>
        <w:t xml:space="preserve"> substituts laitiers (incluant les laits végétaux et le lait sans lactose</w:t>
      </w:r>
      <w:r w:rsidR="005740CA">
        <w:rPr>
          <w:lang w:val="fr-CA"/>
        </w:rPr>
        <w:t>)</w:t>
      </w:r>
      <w:r>
        <w:rPr>
          <w:lang w:val="fr-CA"/>
        </w:rPr>
        <w:t xml:space="preserve"> que </w:t>
      </w:r>
      <w:r w:rsidR="000E0184">
        <w:rPr>
          <w:lang w:val="fr-CA"/>
        </w:rPr>
        <w:t>pour le</w:t>
      </w:r>
      <w:r>
        <w:rPr>
          <w:lang w:val="fr-CA"/>
        </w:rPr>
        <w:t xml:space="preserve"> lait de vache</w:t>
      </w:r>
      <w:r>
        <w:rPr>
          <w:rStyle w:val="FootnoteReference"/>
          <w:lang w:val="fr-CA"/>
        </w:rPr>
        <w:footnoteReference w:id="37"/>
      </w:r>
      <w:r>
        <w:rPr>
          <w:lang w:val="fr-CA"/>
        </w:rPr>
        <w:t>.</w:t>
      </w:r>
      <w:r w:rsidR="008964B9">
        <w:rPr>
          <w:lang w:val="fr-CA"/>
        </w:rPr>
        <w:t xml:space="preserve"> </w:t>
      </w:r>
    </w:p>
    <w:p w:rsidR="00E26013" w:rsidP="00FB7E68" w14:paraId="301CA80A" w14:textId="0CC62462">
      <w:pPr>
        <w:pStyle w:val="Paragrdouble"/>
        <w:spacing w:line="240" w:lineRule="auto"/>
        <w:rPr>
          <w:lang w:val="fr-CA"/>
        </w:rPr>
      </w:pPr>
      <w:r>
        <w:rPr>
          <w:lang w:val="fr-CA"/>
        </w:rPr>
        <w:t xml:space="preserve">La déclaration sous serment produite par TDL Group indique </w:t>
      </w:r>
      <w:r w:rsidR="000E0184">
        <w:rPr>
          <w:lang w:val="fr-CA"/>
        </w:rPr>
        <w:t>que durant la période pertinente</w:t>
      </w:r>
      <w:r>
        <w:rPr>
          <w:lang w:val="fr-CA"/>
        </w:rPr>
        <w:t xml:space="preserve">, </w:t>
      </w:r>
      <w:r w:rsidR="00005D6A">
        <w:rPr>
          <w:lang w:val="fr-CA"/>
        </w:rPr>
        <w:t>la grande majorité des</w:t>
      </w:r>
      <w:r>
        <w:rPr>
          <w:lang w:val="fr-CA"/>
        </w:rPr>
        <w:t xml:space="preserve"> franchisés de</w:t>
      </w:r>
      <w:r w:rsidR="00174DDC">
        <w:rPr>
          <w:lang w:val="fr-CA"/>
        </w:rPr>
        <w:t xml:space="preserve"> la bannière Tim Hortons </w:t>
      </w:r>
      <w:r w:rsidR="000E0184">
        <w:rPr>
          <w:lang w:val="fr-CA"/>
        </w:rPr>
        <w:t xml:space="preserve">s’approvisionnaient auprès de TDL </w:t>
      </w:r>
      <w:r w:rsidR="00185F4D">
        <w:rPr>
          <w:lang w:val="fr-CA"/>
        </w:rPr>
        <w:t xml:space="preserve">Group </w:t>
      </w:r>
      <w:r w:rsidR="000E0184">
        <w:rPr>
          <w:lang w:val="fr-CA"/>
        </w:rPr>
        <w:t>ou de grossistes ayant conclu des ententes avec elle</w:t>
      </w:r>
      <w:r w:rsidR="00C06BCA">
        <w:rPr>
          <w:lang w:val="fr-CA"/>
        </w:rPr>
        <w:t xml:space="preserve">. Les franchisés de l’ouest du Québec </w:t>
      </w:r>
      <w:r>
        <w:rPr>
          <w:lang w:val="fr-CA"/>
        </w:rPr>
        <w:t>payaient</w:t>
      </w:r>
      <w:r w:rsidR="000E0184">
        <w:rPr>
          <w:lang w:val="fr-CA"/>
        </w:rPr>
        <w:t>,</w:t>
      </w:r>
      <w:r>
        <w:rPr>
          <w:lang w:val="fr-CA"/>
        </w:rPr>
        <w:t xml:space="preserve"> en moyenne</w:t>
      </w:r>
      <w:r w:rsidR="000E0184">
        <w:rPr>
          <w:lang w:val="fr-CA"/>
        </w:rPr>
        <w:t>,</w:t>
      </w:r>
      <w:r>
        <w:rPr>
          <w:lang w:val="fr-CA"/>
        </w:rPr>
        <w:t xml:space="preserve"> </w:t>
      </w:r>
      <w:r w:rsidRPr="000E0184">
        <w:rPr>
          <w:u w:val="single"/>
          <w:lang w:val="fr-CA"/>
        </w:rPr>
        <w:t>63</w:t>
      </w:r>
      <w:r w:rsidRPr="000E0184" w:rsidR="005740CA">
        <w:rPr>
          <w:u w:val="single"/>
          <w:lang w:val="fr-CA"/>
        </w:rPr>
        <w:t> </w:t>
      </w:r>
      <w:r w:rsidRPr="000E0184">
        <w:rPr>
          <w:u w:val="single"/>
          <w:lang w:val="fr-CA"/>
        </w:rPr>
        <w:t>% de plus</w:t>
      </w:r>
      <w:r>
        <w:rPr>
          <w:lang w:val="fr-CA"/>
        </w:rPr>
        <w:t xml:space="preserve"> </w:t>
      </w:r>
      <w:r w:rsidR="00C06BCA">
        <w:rPr>
          <w:lang w:val="fr-CA"/>
        </w:rPr>
        <w:t>pour les substituts laitiers, alors que les franchisés de l’est du Québec payaient, en moyenne,</w:t>
      </w:r>
      <w:r w:rsidR="000E0184">
        <w:rPr>
          <w:lang w:val="fr-CA"/>
        </w:rPr>
        <w:t xml:space="preserve"> </w:t>
      </w:r>
      <w:r w:rsidRPr="000E0184" w:rsidR="005740CA">
        <w:rPr>
          <w:u w:val="single"/>
          <w:lang w:val="fr-CA"/>
        </w:rPr>
        <w:t>67 % de plus</w:t>
      </w:r>
      <w:r w:rsidR="00C06BCA">
        <w:rPr>
          <w:lang w:val="fr-CA"/>
        </w:rPr>
        <w:t xml:space="preserve"> pour ces produits</w:t>
      </w:r>
      <w:r>
        <w:rPr>
          <w:rStyle w:val="FootnoteReference"/>
          <w:lang w:val="fr-CA"/>
        </w:rPr>
        <w:footnoteReference w:id="38"/>
      </w:r>
      <w:r w:rsidR="005740CA">
        <w:rPr>
          <w:lang w:val="fr-CA"/>
        </w:rPr>
        <w:t>.</w:t>
      </w:r>
      <w:r w:rsidR="008964B9">
        <w:rPr>
          <w:lang w:val="fr-CA"/>
        </w:rPr>
        <w:t xml:space="preserve"> </w:t>
      </w:r>
    </w:p>
    <w:p w:rsidR="00936FF1" w:rsidP="00FB7E68" w14:paraId="57A9DA4D" w14:textId="51DB0444">
      <w:pPr>
        <w:pStyle w:val="Paragrdouble"/>
        <w:spacing w:line="240" w:lineRule="auto"/>
        <w:rPr>
          <w:lang w:val="fr-CA"/>
        </w:rPr>
      </w:pPr>
      <w:r w:rsidRPr="00FE6257">
        <w:rPr>
          <w:lang w:val="fr-CA"/>
        </w:rPr>
        <w:t xml:space="preserve">Aucune des défenderesses ne fournit les données brutes au soutien </w:t>
      </w:r>
      <w:r w:rsidR="006D334E">
        <w:rPr>
          <w:lang w:val="fr-CA"/>
        </w:rPr>
        <w:t>du</w:t>
      </w:r>
      <w:r w:rsidR="00FE6257">
        <w:rPr>
          <w:lang w:val="fr-CA"/>
        </w:rPr>
        <w:t xml:space="preserve"> calcul d</w:t>
      </w:r>
      <w:r w:rsidRPr="00FE6257">
        <w:rPr>
          <w:lang w:val="fr-CA"/>
        </w:rPr>
        <w:t xml:space="preserve">es </w:t>
      </w:r>
      <w:r w:rsidRPr="00FE6257" w:rsidR="00A513EC">
        <w:rPr>
          <w:lang w:val="fr-CA"/>
        </w:rPr>
        <w:t xml:space="preserve">coûts d’approvisionnement </w:t>
      </w:r>
      <w:r w:rsidR="00FE6257">
        <w:rPr>
          <w:lang w:val="fr-CA"/>
        </w:rPr>
        <w:t>mentionnés</w:t>
      </w:r>
      <w:r w:rsidRPr="00FE6257" w:rsidR="00A513EC">
        <w:rPr>
          <w:lang w:val="fr-CA"/>
        </w:rPr>
        <w:t xml:space="preserve"> </w:t>
      </w:r>
      <w:r w:rsidRPr="00FE6257">
        <w:rPr>
          <w:lang w:val="fr-CA"/>
        </w:rPr>
        <w:t xml:space="preserve">dans les déclarations sous serment. Ces données ont toutefois été transmises </w:t>
      </w:r>
      <w:r>
        <w:rPr>
          <w:lang w:val="fr-CA"/>
        </w:rPr>
        <w:t xml:space="preserve">à </w:t>
      </w:r>
      <w:r w:rsidRPr="00FE6257">
        <w:rPr>
          <w:lang w:val="fr-CA"/>
        </w:rPr>
        <w:t>la demanderesse, qui a</w:t>
      </w:r>
      <w:r w:rsidRPr="00FE6257" w:rsidR="00A513EC">
        <w:rPr>
          <w:lang w:val="fr-CA"/>
        </w:rPr>
        <w:t xml:space="preserve"> </w:t>
      </w:r>
      <w:r w:rsidR="001B3359">
        <w:rPr>
          <w:lang w:val="fr-CA"/>
        </w:rPr>
        <w:t>eu l’opportunité d’</w:t>
      </w:r>
      <w:r w:rsidRPr="00FE6257">
        <w:rPr>
          <w:lang w:val="fr-CA"/>
        </w:rPr>
        <w:t>interroger les auteurs des déclarations sous serment</w:t>
      </w:r>
      <w:r w:rsidR="001B3359">
        <w:rPr>
          <w:lang w:val="fr-CA"/>
        </w:rPr>
        <w:t xml:space="preserve">, </w:t>
      </w:r>
      <w:r w:rsidR="00A14FD6">
        <w:rPr>
          <w:lang w:val="fr-CA"/>
        </w:rPr>
        <w:t>mais</w:t>
      </w:r>
      <w:r w:rsidR="001B3359">
        <w:rPr>
          <w:lang w:val="fr-CA"/>
        </w:rPr>
        <w:t xml:space="preserve"> a choisi de ne pas </w:t>
      </w:r>
      <w:r w:rsidR="00A14FD6">
        <w:rPr>
          <w:lang w:val="fr-CA"/>
        </w:rPr>
        <w:t xml:space="preserve">le </w:t>
      </w:r>
      <w:r w:rsidR="001B3359">
        <w:rPr>
          <w:lang w:val="fr-CA"/>
        </w:rPr>
        <w:t>faire</w:t>
      </w:r>
      <w:r w:rsidRPr="00FE6257">
        <w:rPr>
          <w:lang w:val="fr-CA"/>
        </w:rPr>
        <w:t>.</w:t>
      </w:r>
      <w:r>
        <w:rPr>
          <w:lang w:val="fr-CA"/>
        </w:rPr>
        <w:t xml:space="preserve"> </w:t>
      </w:r>
    </w:p>
    <w:p w:rsidR="00974EDB" w:rsidP="00FB7E68" w14:paraId="2B8DB0FA" w14:textId="416379C7">
      <w:pPr>
        <w:pStyle w:val="Paragrdouble"/>
        <w:spacing w:line="240" w:lineRule="auto"/>
        <w:rPr>
          <w:lang w:val="fr-CA"/>
        </w:rPr>
      </w:pPr>
      <w:r>
        <w:rPr>
          <w:lang w:val="fr-CA"/>
        </w:rPr>
        <w:t xml:space="preserve">À l’audience, la demanderesse soutient que le Tribunal devrait écarter les déclarations sous serment des défenderesses, car elles contreviendraient à la règle de la meilleure preuve. Cet argument étonne, puisque la demanderesse a explicitement consenti à </w:t>
      </w:r>
      <w:r w:rsidR="00A14FD6">
        <w:rPr>
          <w:lang w:val="fr-CA"/>
        </w:rPr>
        <w:t>la production en preuve</w:t>
      </w:r>
      <w:r>
        <w:rPr>
          <w:lang w:val="fr-CA"/>
        </w:rPr>
        <w:t xml:space="preserve"> des déclarations sous serment. </w:t>
      </w:r>
    </w:p>
    <w:p w:rsidR="00B83779" w:rsidRPr="007D0AA2" w:rsidP="00EE182B" w14:paraId="72E1778F" w14:textId="3892AE8D">
      <w:pPr>
        <w:pStyle w:val="Paragrdouble"/>
        <w:spacing w:line="240" w:lineRule="auto"/>
        <w:rPr>
          <w:lang w:val="fr-CA"/>
        </w:rPr>
      </w:pPr>
      <w:r w:rsidRPr="007D0AA2">
        <w:rPr>
          <w:lang w:val="fr-CA"/>
        </w:rPr>
        <w:t>Cela dit, les d</w:t>
      </w:r>
      <w:r w:rsidRPr="007D0AA2" w:rsidR="00A14FD6">
        <w:rPr>
          <w:lang w:val="fr-CA"/>
        </w:rPr>
        <w:t xml:space="preserve">éclarations sous serment </w:t>
      </w:r>
      <w:r w:rsidRPr="007D0AA2">
        <w:rPr>
          <w:lang w:val="fr-CA"/>
        </w:rPr>
        <w:t xml:space="preserve">ne </w:t>
      </w:r>
      <w:r w:rsidRPr="007D0AA2" w:rsidR="00A14FD6">
        <w:rPr>
          <w:lang w:val="fr-CA"/>
        </w:rPr>
        <w:t xml:space="preserve">font </w:t>
      </w:r>
      <w:r w:rsidRPr="007D0AA2">
        <w:rPr>
          <w:lang w:val="fr-CA"/>
        </w:rPr>
        <w:t xml:space="preserve">pas </w:t>
      </w:r>
      <w:r w:rsidRPr="007D0AA2" w:rsidR="00A14FD6">
        <w:rPr>
          <w:lang w:val="fr-CA"/>
        </w:rPr>
        <w:t>preuve d</w:t>
      </w:r>
      <w:r w:rsidRPr="007D0AA2" w:rsidR="00B0552D">
        <w:rPr>
          <w:lang w:val="fr-CA"/>
        </w:rPr>
        <w:t>es coûts réels des défenderesses</w:t>
      </w:r>
      <w:r w:rsidRPr="007D0AA2">
        <w:rPr>
          <w:lang w:val="fr-CA"/>
        </w:rPr>
        <w:t>,</w:t>
      </w:r>
      <w:r w:rsidRPr="007D0AA2" w:rsidR="00B0552D">
        <w:rPr>
          <w:lang w:val="fr-CA"/>
        </w:rPr>
        <w:t xml:space="preserve"> </w:t>
      </w:r>
      <w:r w:rsidRPr="007D0AA2" w:rsidR="00936FF1">
        <w:rPr>
          <w:lang w:val="fr-CA"/>
        </w:rPr>
        <w:t>selon la balance des probabilités</w:t>
      </w:r>
      <w:r w:rsidRPr="007D0AA2" w:rsidR="00B0552D">
        <w:rPr>
          <w:lang w:val="fr-CA"/>
        </w:rPr>
        <w:t xml:space="preserve">. Cette question relève du mérite de l’action collective, si elle est autorisée. </w:t>
      </w:r>
      <w:r w:rsidRPr="007D0AA2">
        <w:rPr>
          <w:lang w:val="fr-CA"/>
        </w:rPr>
        <w:t>Néanmoins, elles</w:t>
      </w:r>
      <w:r w:rsidRPr="007D0AA2" w:rsidR="008722F6">
        <w:rPr>
          <w:lang w:val="fr-CA"/>
        </w:rPr>
        <w:t xml:space="preserve"> </w:t>
      </w:r>
      <w:r w:rsidRPr="007D0AA2" w:rsidR="00936FF1">
        <w:rPr>
          <w:lang w:val="fr-CA"/>
        </w:rPr>
        <w:t xml:space="preserve">sont utiles </w:t>
      </w:r>
      <w:r w:rsidRPr="007D0AA2" w:rsidR="00A14FD6">
        <w:rPr>
          <w:lang w:val="fr-CA"/>
        </w:rPr>
        <w:t>à</w:t>
      </w:r>
      <w:r w:rsidRPr="007D0AA2" w:rsidR="00936FF1">
        <w:rPr>
          <w:lang w:val="fr-CA"/>
        </w:rPr>
        <w:t xml:space="preserve"> l’analyse de l’apparence de droit</w:t>
      </w:r>
      <w:r w:rsidRPr="007D0AA2" w:rsidR="007D0AA2">
        <w:rPr>
          <w:lang w:val="fr-CA"/>
        </w:rPr>
        <w:t xml:space="preserve">, car elles </w:t>
      </w:r>
      <w:r w:rsidRPr="007D0AA2">
        <w:rPr>
          <w:lang w:val="fr-CA"/>
        </w:rPr>
        <w:t>indiquent</w:t>
      </w:r>
      <w:r w:rsidRPr="007D0AA2">
        <w:rPr>
          <w:lang w:val="fr-CA"/>
        </w:rPr>
        <w:t xml:space="preserve"> </w:t>
      </w:r>
      <w:r w:rsidRPr="007D0AA2" w:rsidR="0018441B">
        <w:rPr>
          <w:lang w:val="fr-CA"/>
        </w:rPr>
        <w:t>qu’il est possible de soutenir que les suppléments de prix exigés pour les substituts laitiers dans les restaurants des défenderesses sont lésionnaires au sens de l’article 8 L.p.c.</w:t>
      </w:r>
    </w:p>
    <w:p w:rsidR="00B62598" w:rsidP="00CD4F89" w14:paraId="1695FC55" w14:textId="536C739F">
      <w:pPr>
        <w:pStyle w:val="Heading3"/>
        <w:rPr>
          <w:lang w:val="fr-CA"/>
        </w:rPr>
      </w:pPr>
      <w:r>
        <w:rPr>
          <w:lang w:val="fr-CA"/>
        </w:rPr>
        <w:t>L</w:t>
      </w:r>
      <w:r>
        <w:rPr>
          <w:lang w:val="fr-CA"/>
        </w:rPr>
        <w:t>ésion objective</w:t>
      </w:r>
      <w:r w:rsidR="00C93342">
        <w:rPr>
          <w:lang w:val="fr-CA"/>
        </w:rPr>
        <w:t xml:space="preserve"> (art. 8 L.p.c.)</w:t>
      </w:r>
    </w:p>
    <w:p w:rsidR="008722F6" w:rsidP="00FB7E68" w14:paraId="1698DE75" w14:textId="23B0D703">
      <w:pPr>
        <w:pStyle w:val="Paragrdouble"/>
        <w:spacing w:line="240" w:lineRule="auto"/>
        <w:rPr>
          <w:lang w:val="fr-CA"/>
        </w:rPr>
      </w:pPr>
      <w:r>
        <w:rPr>
          <w:lang w:val="fr-CA"/>
        </w:rPr>
        <w:t>La</w:t>
      </w:r>
      <w:r>
        <w:rPr>
          <w:lang w:val="fr-CA"/>
        </w:rPr>
        <w:t xml:space="preserve"> demanderesse </w:t>
      </w:r>
      <w:r>
        <w:rPr>
          <w:lang w:val="fr-CA"/>
        </w:rPr>
        <w:t>invoque</w:t>
      </w:r>
      <w:r>
        <w:rPr>
          <w:lang w:val="fr-CA"/>
        </w:rPr>
        <w:t xml:space="preserve"> l’article 8 L.p.c., qui se lit comme suit :</w:t>
      </w:r>
    </w:p>
    <w:p w:rsidR="008722F6" w:rsidP="008D27AA" w14:paraId="49CD1B91" w14:textId="585AA01D">
      <w:pPr>
        <w:pStyle w:val="Quote"/>
      </w:pPr>
      <w:r w:rsidRPr="00B62598">
        <w:rPr>
          <w:b/>
          <w:bCs/>
        </w:rPr>
        <w:t>8.</w:t>
      </w:r>
      <w:r>
        <w:tab/>
      </w:r>
      <w:r w:rsidRPr="00B62598">
        <w:t>Le consommateur peut demander la nullité du contrat ou la réduction des obligations qui en découlent lorsque la disproportion entre les prestations respectives des parties est tellement considérable qu’elle équivaut à de l’exploitation du consommateur, ou que l’obligation du consommateur est excessive, abusive ou exorbitante.</w:t>
      </w:r>
    </w:p>
    <w:p w:rsidR="002A79C3" w:rsidP="002670E4" w14:paraId="303A4B21" w14:textId="17CF3BB3">
      <w:pPr>
        <w:pStyle w:val="Paragrdouble"/>
        <w:spacing w:line="240" w:lineRule="auto"/>
        <w:rPr>
          <w:lang w:val="fr-CA"/>
        </w:rPr>
      </w:pPr>
      <w:r>
        <w:rPr>
          <w:lang w:val="fr-CA"/>
        </w:rPr>
        <w:t xml:space="preserve">La lésion objective suppose </w:t>
      </w:r>
      <w:r w:rsidR="00A0799D">
        <w:rPr>
          <w:lang w:val="fr-CA"/>
        </w:rPr>
        <w:t xml:space="preserve">(1) </w:t>
      </w:r>
      <w:r>
        <w:rPr>
          <w:lang w:val="fr-CA"/>
        </w:rPr>
        <w:t>qu’il existe une disproportion entre ce que le consommateur donne et ce qu’il reçoit</w:t>
      </w:r>
      <w:r w:rsidR="00A0799D">
        <w:rPr>
          <w:lang w:val="fr-CA"/>
        </w:rPr>
        <w:t xml:space="preserve"> </w:t>
      </w:r>
      <w:r>
        <w:rPr>
          <w:lang w:val="fr-CA"/>
        </w:rPr>
        <w:t xml:space="preserve">et </w:t>
      </w:r>
      <w:r w:rsidR="00A0799D">
        <w:rPr>
          <w:lang w:val="fr-CA"/>
        </w:rPr>
        <w:t xml:space="preserve">(2) </w:t>
      </w:r>
      <w:r>
        <w:rPr>
          <w:lang w:val="fr-CA"/>
        </w:rPr>
        <w:t xml:space="preserve">que cette disproportion </w:t>
      </w:r>
      <w:r w:rsidR="00A0799D">
        <w:rPr>
          <w:lang w:val="fr-CA"/>
        </w:rPr>
        <w:t>est</w:t>
      </w:r>
      <w:r>
        <w:rPr>
          <w:lang w:val="fr-CA"/>
        </w:rPr>
        <w:t xml:space="preserve"> </w:t>
      </w:r>
      <w:r w:rsidR="00D44E3A">
        <w:rPr>
          <w:lang w:val="fr-CA"/>
        </w:rPr>
        <w:t xml:space="preserve">tellement </w:t>
      </w:r>
      <w:r>
        <w:rPr>
          <w:lang w:val="fr-CA"/>
        </w:rPr>
        <w:t xml:space="preserve">considérable </w:t>
      </w:r>
      <w:r w:rsidR="00D44E3A">
        <w:rPr>
          <w:lang w:val="fr-CA"/>
        </w:rPr>
        <w:t>qu’elle lèse</w:t>
      </w:r>
      <w:r>
        <w:rPr>
          <w:lang w:val="fr-CA"/>
        </w:rPr>
        <w:t xml:space="preserve"> gravement le consommateur</w:t>
      </w:r>
      <w:r>
        <w:rPr>
          <w:rStyle w:val="FootnoteReference"/>
          <w:lang w:val="fr-CA"/>
        </w:rPr>
        <w:footnoteReference w:id="39"/>
      </w:r>
      <w:r>
        <w:rPr>
          <w:lang w:val="fr-CA"/>
        </w:rPr>
        <w:t>.</w:t>
      </w:r>
      <w:r w:rsidR="00C93342">
        <w:rPr>
          <w:lang w:val="fr-CA"/>
        </w:rPr>
        <w:t xml:space="preserve"> </w:t>
      </w:r>
    </w:p>
    <w:p w:rsidR="00B62598" w:rsidRPr="00A70CD2" w:rsidP="001268C1" w14:paraId="26AECBCC" w14:textId="2F9D1023">
      <w:pPr>
        <w:pStyle w:val="Paragrdouble"/>
        <w:spacing w:line="240" w:lineRule="auto"/>
        <w:rPr>
          <w:lang w:val="fr-CA"/>
        </w:rPr>
      </w:pPr>
      <w:r w:rsidRPr="00A70CD2">
        <w:rPr>
          <w:lang w:val="fr-CA"/>
        </w:rPr>
        <w:t xml:space="preserve">Il existe plusieurs </w:t>
      </w:r>
      <w:r w:rsidRPr="00A70CD2" w:rsidR="0018441B">
        <w:rPr>
          <w:lang w:val="fr-CA"/>
        </w:rPr>
        <w:t>façons</w:t>
      </w:r>
      <w:r w:rsidRPr="00A70CD2">
        <w:rPr>
          <w:lang w:val="fr-CA"/>
        </w:rPr>
        <w:t xml:space="preserve"> de démontrer qu’un contra</w:t>
      </w:r>
      <w:r w:rsidRPr="00A70CD2" w:rsidR="0018441B">
        <w:rPr>
          <w:lang w:val="fr-CA"/>
        </w:rPr>
        <w:t>t de vente</w:t>
      </w:r>
      <w:r w:rsidRPr="00A70CD2">
        <w:rPr>
          <w:lang w:val="fr-CA"/>
        </w:rPr>
        <w:t xml:space="preserve"> est </w:t>
      </w:r>
      <w:r w:rsidRPr="00A70CD2" w:rsidR="00D30171">
        <w:rPr>
          <w:lang w:val="fr-CA"/>
        </w:rPr>
        <w:t xml:space="preserve">objectivement </w:t>
      </w:r>
      <w:r w:rsidRPr="00A70CD2">
        <w:rPr>
          <w:lang w:val="fr-CA"/>
        </w:rPr>
        <w:t xml:space="preserve">lésionnaire. </w:t>
      </w:r>
      <w:r w:rsidRPr="00A70CD2" w:rsidR="00C431B1">
        <w:rPr>
          <w:lang w:val="fr-CA"/>
        </w:rPr>
        <w:t xml:space="preserve">Premièrement, on peut </w:t>
      </w:r>
      <w:r w:rsidRPr="00A70CD2" w:rsidR="002A79C3">
        <w:rPr>
          <w:lang w:val="fr-CA"/>
        </w:rPr>
        <w:t xml:space="preserve">comparer le prix </w:t>
      </w:r>
      <w:r w:rsidRPr="00A70CD2" w:rsidR="00A70CD2">
        <w:rPr>
          <w:lang w:val="fr-CA"/>
        </w:rPr>
        <w:t>que le consommateur pay</w:t>
      </w:r>
      <w:r w:rsidR="006D334E">
        <w:rPr>
          <w:lang w:val="fr-CA"/>
        </w:rPr>
        <w:t>e</w:t>
      </w:r>
      <w:r w:rsidRPr="00A70CD2" w:rsidR="002A79C3">
        <w:rPr>
          <w:lang w:val="fr-CA"/>
        </w:rPr>
        <w:t xml:space="preserve"> </w:t>
      </w:r>
      <w:r w:rsidR="006D334E">
        <w:rPr>
          <w:lang w:val="fr-CA"/>
        </w:rPr>
        <w:t>et</w:t>
      </w:r>
      <w:r w:rsidRPr="00A70CD2" w:rsidR="002A79C3">
        <w:rPr>
          <w:lang w:val="fr-CA"/>
        </w:rPr>
        <w:t xml:space="preserve"> la valeur marchande </w:t>
      </w:r>
      <w:r w:rsidRPr="00A70CD2" w:rsidR="00A70CD2">
        <w:rPr>
          <w:lang w:val="fr-CA"/>
        </w:rPr>
        <w:t>de ce qu’il reçoit</w:t>
      </w:r>
      <w:r w:rsidRPr="00A70CD2" w:rsidR="002A79C3">
        <w:rPr>
          <w:lang w:val="fr-CA"/>
        </w:rPr>
        <w:t xml:space="preserve">. </w:t>
      </w:r>
      <w:r w:rsidRPr="00A70CD2" w:rsidR="0018441B">
        <w:rPr>
          <w:lang w:val="fr-CA"/>
        </w:rPr>
        <w:t>À ce sujet, la</w:t>
      </w:r>
      <w:r w:rsidRPr="00A70CD2" w:rsidR="002A79C3">
        <w:rPr>
          <w:lang w:val="fr-CA"/>
        </w:rPr>
        <w:t xml:space="preserve"> jurisprudence </w:t>
      </w:r>
      <w:r w:rsidR="00F1701D">
        <w:rPr>
          <w:lang w:val="fr-CA"/>
        </w:rPr>
        <w:t xml:space="preserve">et la doctrine </w:t>
      </w:r>
      <w:r w:rsidRPr="00A70CD2" w:rsidR="0018441B">
        <w:rPr>
          <w:lang w:val="fr-CA"/>
        </w:rPr>
        <w:t>indique</w:t>
      </w:r>
      <w:r w:rsidR="00F1701D">
        <w:rPr>
          <w:lang w:val="fr-CA"/>
        </w:rPr>
        <w:t>nt</w:t>
      </w:r>
      <w:r w:rsidRPr="00A70CD2" w:rsidR="002A79C3">
        <w:rPr>
          <w:lang w:val="fr-CA"/>
        </w:rPr>
        <w:t xml:space="preserve"> qu’un prix qui correspond au double de la valeur marchande peut être qualifié d’objectivement lésionnaire en vertu de l’article 8 L.p.c.</w:t>
      </w:r>
      <w:r>
        <w:rPr>
          <w:rStyle w:val="FootnoteReference"/>
          <w:lang w:val="fr-CA"/>
        </w:rPr>
        <w:footnoteReference w:id="40"/>
      </w:r>
      <w:r w:rsidRPr="00A70CD2">
        <w:rPr>
          <w:lang w:val="fr-CA"/>
        </w:rPr>
        <w:t xml:space="preserve"> </w:t>
      </w:r>
      <w:r w:rsidRPr="00A70CD2" w:rsidR="00C431B1">
        <w:rPr>
          <w:lang w:val="fr-CA"/>
        </w:rPr>
        <w:t>Deuxièmement, on peut</w:t>
      </w:r>
      <w:r w:rsidRPr="00A70CD2" w:rsidR="002A79C3">
        <w:rPr>
          <w:lang w:val="fr-CA"/>
        </w:rPr>
        <w:t xml:space="preserve"> démontrer </w:t>
      </w:r>
      <w:r w:rsidRPr="00A70CD2" w:rsidR="00C431B1">
        <w:rPr>
          <w:lang w:val="fr-CA"/>
        </w:rPr>
        <w:t xml:space="preserve">que le prix est </w:t>
      </w:r>
      <w:r w:rsidRPr="00A70CD2" w:rsidR="00D44E3A">
        <w:rPr>
          <w:lang w:val="fr-CA"/>
        </w:rPr>
        <w:t>exorbitant</w:t>
      </w:r>
      <w:r w:rsidRPr="00A70CD2" w:rsidR="00C431B1">
        <w:rPr>
          <w:lang w:val="fr-CA"/>
        </w:rPr>
        <w:t xml:space="preserve"> par rapport au</w:t>
      </w:r>
      <w:r w:rsidRPr="00A70CD2" w:rsidR="00047528">
        <w:rPr>
          <w:lang w:val="fr-CA"/>
        </w:rPr>
        <w:t>x</w:t>
      </w:r>
      <w:r w:rsidRPr="00A70CD2" w:rsidR="00C431B1">
        <w:rPr>
          <w:lang w:val="fr-CA"/>
        </w:rPr>
        <w:t xml:space="preserve"> </w:t>
      </w:r>
      <w:r w:rsidRPr="00A70CD2" w:rsidR="002A79C3">
        <w:rPr>
          <w:lang w:val="fr-CA"/>
        </w:rPr>
        <w:t>coût</w:t>
      </w:r>
      <w:r w:rsidRPr="00A70CD2" w:rsidR="00047528">
        <w:rPr>
          <w:lang w:val="fr-CA"/>
        </w:rPr>
        <w:t>s</w:t>
      </w:r>
      <w:r w:rsidRPr="00A70CD2" w:rsidR="002A79C3">
        <w:rPr>
          <w:lang w:val="fr-CA"/>
        </w:rPr>
        <w:t xml:space="preserve"> </w:t>
      </w:r>
      <w:r w:rsidRPr="00A70CD2" w:rsidR="001B3359">
        <w:rPr>
          <w:lang w:val="fr-CA"/>
        </w:rPr>
        <w:t xml:space="preserve">qui sont </w:t>
      </w:r>
      <w:r w:rsidRPr="00A70CD2" w:rsidR="002A79C3">
        <w:rPr>
          <w:lang w:val="fr-CA"/>
        </w:rPr>
        <w:t>assumé</w:t>
      </w:r>
      <w:r w:rsidRPr="00A70CD2" w:rsidR="00047528">
        <w:rPr>
          <w:lang w:val="fr-CA"/>
        </w:rPr>
        <w:t>s</w:t>
      </w:r>
      <w:r w:rsidRPr="00A70CD2" w:rsidR="002A79C3">
        <w:rPr>
          <w:lang w:val="fr-CA"/>
        </w:rPr>
        <w:t xml:space="preserve"> par le commerçant</w:t>
      </w:r>
      <w:r w:rsidRPr="00A70CD2" w:rsidR="001B3359">
        <w:rPr>
          <w:lang w:val="fr-CA"/>
        </w:rPr>
        <w:t xml:space="preserve"> pour produire ou se procurer le produit</w:t>
      </w:r>
      <w:r>
        <w:rPr>
          <w:rStyle w:val="FootnoteReference"/>
          <w:lang w:val="fr-CA"/>
        </w:rPr>
        <w:footnoteReference w:id="41"/>
      </w:r>
      <w:r w:rsidRPr="00A70CD2" w:rsidR="002A79C3">
        <w:rPr>
          <w:lang w:val="fr-CA"/>
        </w:rPr>
        <w:t xml:space="preserve">. </w:t>
      </w:r>
      <w:r w:rsidRPr="00A70CD2" w:rsidR="00D44E3A">
        <w:rPr>
          <w:lang w:val="fr-CA"/>
        </w:rPr>
        <w:t xml:space="preserve">Il importe toutefois de souligner que l’analyse du caractère lésionnaire d’un contrat ne </w:t>
      </w:r>
      <w:r w:rsidRPr="00A70CD2" w:rsidR="00062017">
        <w:rPr>
          <w:lang w:val="fr-CA"/>
        </w:rPr>
        <w:t xml:space="preserve">se limite généralement pas à </w:t>
      </w:r>
      <w:r w:rsidRPr="00A70CD2" w:rsidR="00024BFD">
        <w:rPr>
          <w:lang w:val="fr-CA"/>
        </w:rPr>
        <w:t>un simple exercice</w:t>
      </w:r>
      <w:r w:rsidRPr="00A70CD2" w:rsidR="002A79C3">
        <w:rPr>
          <w:lang w:val="fr-CA"/>
        </w:rPr>
        <w:t xml:space="preserve"> mathématique : il faut tenir compte de plusieurs facteurs, dont </w:t>
      </w:r>
      <w:r w:rsidRPr="00A70CD2" w:rsidR="00024BFD">
        <w:rPr>
          <w:lang w:val="fr-CA"/>
        </w:rPr>
        <w:t xml:space="preserve">le type de produit, </w:t>
      </w:r>
      <w:r w:rsidRPr="00A70CD2" w:rsidR="002A79C3">
        <w:rPr>
          <w:lang w:val="fr-CA"/>
        </w:rPr>
        <w:t>les marges bénéficiaires du commerçant, les caractéristiques du marché</w:t>
      </w:r>
      <w:r w:rsidRPr="00A70CD2" w:rsidR="00D30171">
        <w:rPr>
          <w:lang w:val="fr-CA"/>
        </w:rPr>
        <w:t xml:space="preserve">, </w:t>
      </w:r>
      <w:r w:rsidRPr="00A70CD2" w:rsidR="002A79C3">
        <w:rPr>
          <w:lang w:val="fr-CA"/>
        </w:rPr>
        <w:t>les comparables dans le marché</w:t>
      </w:r>
      <w:r w:rsidRPr="00A70CD2" w:rsidR="00D30171">
        <w:rPr>
          <w:lang w:val="fr-CA"/>
        </w:rPr>
        <w:t>, etc.</w:t>
      </w:r>
      <w:r>
        <w:rPr>
          <w:rStyle w:val="FootnoteReference"/>
          <w:lang w:val="fr-CA"/>
        </w:rPr>
        <w:footnoteReference w:id="42"/>
      </w:r>
      <w:r w:rsidRPr="00A70CD2" w:rsidR="002A79C3">
        <w:rPr>
          <w:lang w:val="fr-CA"/>
        </w:rPr>
        <w:t xml:space="preserve"> </w:t>
      </w:r>
    </w:p>
    <w:p w:rsidR="00A70CD2" w:rsidP="007F5397" w14:paraId="02F3C252" w14:textId="77777777">
      <w:pPr>
        <w:pStyle w:val="Paragrdouble"/>
        <w:spacing w:line="240" w:lineRule="auto"/>
        <w:rPr>
          <w:lang w:val="fr-CA"/>
        </w:rPr>
      </w:pPr>
      <w:r w:rsidRPr="001B3359">
        <w:rPr>
          <w:lang w:val="fr-CA"/>
        </w:rPr>
        <w:t xml:space="preserve">Dans le présent dossier, la demanderesse </w:t>
      </w:r>
      <w:r w:rsidRPr="001B3359" w:rsidR="00024BFD">
        <w:rPr>
          <w:lang w:val="fr-CA"/>
        </w:rPr>
        <w:t xml:space="preserve">soutient que la méthode de la valeur marchande démontre, </w:t>
      </w:r>
      <w:r w:rsidRPr="001B3359" w:rsidR="00024BFD">
        <w:rPr>
          <w:i/>
          <w:iCs/>
          <w:lang w:val="fr-CA"/>
        </w:rPr>
        <w:t>prima facie</w:t>
      </w:r>
      <w:r w:rsidRPr="001B3359" w:rsidR="00024BFD">
        <w:rPr>
          <w:lang w:val="fr-CA"/>
        </w:rPr>
        <w:t>, que le supplément de prix de 0,80 $ exigé par Starbucks et Second Cup serait lésionnaire</w:t>
      </w:r>
      <w:r w:rsidRPr="001B3359" w:rsidR="00C431B1">
        <w:rPr>
          <w:lang w:val="fr-CA"/>
        </w:rPr>
        <w:t>. À ce sujet, elle soutient que ce supplément de 0,80 $</w:t>
      </w:r>
      <w:r w:rsidRPr="001B3359" w:rsidR="00024BFD">
        <w:rPr>
          <w:lang w:val="fr-CA"/>
        </w:rPr>
        <w:t xml:space="preserve"> serait « près du double » du supplément de 0,50 $ chargé par Tim Hortons</w:t>
      </w:r>
      <w:r>
        <w:rPr>
          <w:rStyle w:val="FootnoteReference"/>
          <w:lang w:val="fr-CA"/>
        </w:rPr>
        <w:footnoteReference w:id="43"/>
      </w:r>
      <w:r w:rsidRPr="001B3359" w:rsidR="00024BFD">
        <w:rPr>
          <w:lang w:val="fr-CA"/>
        </w:rPr>
        <w:t>.</w:t>
      </w:r>
      <w:r w:rsidR="001B3359">
        <w:rPr>
          <w:lang w:val="fr-CA"/>
        </w:rPr>
        <w:t xml:space="preserve"> </w:t>
      </w:r>
    </w:p>
    <w:p w:rsidR="00F1701D" w:rsidP="00EE26A0" w14:paraId="645F0EDB" w14:textId="6E0813AA">
      <w:pPr>
        <w:pStyle w:val="Paragrdouble"/>
        <w:spacing w:line="240" w:lineRule="auto"/>
        <w:rPr>
          <w:lang w:val="fr-CA"/>
        </w:rPr>
      </w:pPr>
      <w:r w:rsidRPr="00A70CD2">
        <w:rPr>
          <w:lang w:val="fr-CA"/>
        </w:rPr>
        <w:t>Le Tribunal rejette cet argument</w:t>
      </w:r>
      <w:r w:rsidR="00A70CD2">
        <w:rPr>
          <w:lang w:val="fr-CA"/>
        </w:rPr>
        <w:t xml:space="preserve">, car </w:t>
      </w:r>
      <w:r w:rsidRPr="00A70CD2" w:rsidR="00A70CD2">
        <w:rPr>
          <w:lang w:val="fr-CA"/>
        </w:rPr>
        <w:t>rien ne permet d’affirmer que la valeur marchande de la substitution serait de 0,50 $</w:t>
      </w:r>
      <w:r w:rsidR="00A70CD2">
        <w:rPr>
          <w:lang w:val="fr-CA"/>
        </w:rPr>
        <w:t>, plutôt que 0,80 $</w:t>
      </w:r>
      <w:r w:rsidRPr="00A70CD2">
        <w:rPr>
          <w:lang w:val="fr-CA"/>
        </w:rPr>
        <w:t xml:space="preserve">. </w:t>
      </w:r>
      <w:r w:rsidR="00A70CD2">
        <w:rPr>
          <w:lang w:val="fr-CA"/>
        </w:rPr>
        <w:t>Soulignons que p</w:t>
      </w:r>
      <w:r w:rsidRPr="00A70CD2" w:rsidR="00C431B1">
        <w:rPr>
          <w:lang w:val="fr-CA"/>
        </w:rPr>
        <w:t xml:space="preserve">lusieurs autres chaînes de restaurants offrent des cafés de spécialité sur le marché (tels que </w:t>
      </w:r>
      <w:r w:rsidR="0051347C">
        <w:rPr>
          <w:lang w:val="fr-CA"/>
        </w:rPr>
        <w:t xml:space="preserve">McCafé, </w:t>
      </w:r>
      <w:r w:rsidRPr="00A70CD2" w:rsidR="002A79C3">
        <w:rPr>
          <w:lang w:val="fr-CA"/>
        </w:rPr>
        <w:t>Café Vienne, A.L. Van Houtte, Presse Café ou Melk, pour ne nommer que ceux-là</w:t>
      </w:r>
      <w:r w:rsidRPr="00A70CD2" w:rsidR="00C431B1">
        <w:rPr>
          <w:lang w:val="fr-CA"/>
        </w:rPr>
        <w:t>)</w:t>
      </w:r>
      <w:r>
        <w:rPr>
          <w:lang w:val="fr-CA"/>
        </w:rPr>
        <w:t xml:space="preserve">. Or, </w:t>
      </w:r>
      <w:r w:rsidRPr="00A70CD2" w:rsidR="00C431B1">
        <w:rPr>
          <w:lang w:val="fr-CA"/>
        </w:rPr>
        <w:t xml:space="preserve">la </w:t>
      </w:r>
      <w:r w:rsidR="0033722E">
        <w:rPr>
          <w:lang w:val="fr-CA"/>
        </w:rPr>
        <w:t>Demande d’autorisation</w:t>
      </w:r>
      <w:r w:rsidRPr="00A70CD2" w:rsidR="00C431B1">
        <w:rPr>
          <w:lang w:val="fr-CA"/>
        </w:rPr>
        <w:t xml:space="preserve"> n’inclut aucune allégation concernant le prix auquel ces concurrents </w:t>
      </w:r>
      <w:r w:rsidRPr="00A70CD2" w:rsidR="00D30171">
        <w:rPr>
          <w:lang w:val="fr-CA"/>
        </w:rPr>
        <w:t>facturent</w:t>
      </w:r>
      <w:r w:rsidRPr="00A70CD2" w:rsidR="00C431B1">
        <w:rPr>
          <w:lang w:val="fr-CA"/>
        </w:rPr>
        <w:t xml:space="preserve"> la substitution du lait de vache par du lait végétal</w:t>
      </w:r>
      <w:r w:rsidRPr="00A70CD2" w:rsidR="002A79C3">
        <w:rPr>
          <w:lang w:val="fr-CA"/>
        </w:rPr>
        <w:t>.</w:t>
      </w:r>
      <w:r w:rsidRPr="00A70CD2" w:rsidR="00C431B1">
        <w:rPr>
          <w:lang w:val="fr-CA"/>
        </w:rPr>
        <w:t xml:space="preserve"> </w:t>
      </w:r>
    </w:p>
    <w:p w:rsidR="002A79C3" w:rsidRPr="00A70CD2" w:rsidP="00EE26A0" w14:paraId="2A69BABA" w14:textId="3A4E2E9D">
      <w:pPr>
        <w:pStyle w:val="Paragrdouble"/>
        <w:spacing w:line="240" w:lineRule="auto"/>
        <w:rPr>
          <w:lang w:val="fr-CA"/>
        </w:rPr>
      </w:pPr>
      <w:r>
        <w:rPr>
          <w:lang w:val="fr-CA"/>
        </w:rPr>
        <w:t>En somme, la demande en autorisation ne contient aucune allégation de faits permettant de soutenir que la valeur marchande des substituts laitiers serait de 0,50 $. À tout événement, la somme de 0,80 $ se trouve en deçà du seuil du double de la valeur marchande retenu par la jurisprudence et la doctrine.</w:t>
      </w:r>
    </w:p>
    <w:p w:rsidR="00DE25DB" w:rsidP="002670E4" w14:paraId="5F0D6F72" w14:textId="205C3D03">
      <w:pPr>
        <w:pStyle w:val="Paragrdouble"/>
        <w:spacing w:line="240" w:lineRule="auto"/>
        <w:rPr>
          <w:lang w:val="fr-CA"/>
        </w:rPr>
      </w:pPr>
      <w:r>
        <w:rPr>
          <w:lang w:val="fr-CA"/>
        </w:rPr>
        <w:t xml:space="preserve">La demanderesse </w:t>
      </w:r>
      <w:r>
        <w:rPr>
          <w:lang w:val="fr-CA"/>
        </w:rPr>
        <w:t xml:space="preserve">soutient </w:t>
      </w:r>
      <w:r w:rsidR="00C431B1">
        <w:rPr>
          <w:lang w:val="fr-CA"/>
        </w:rPr>
        <w:t>par ailleurs</w:t>
      </w:r>
      <w:r w:rsidR="005A30BB">
        <w:rPr>
          <w:lang w:val="fr-CA"/>
        </w:rPr>
        <w:t xml:space="preserve"> </w:t>
      </w:r>
      <w:r>
        <w:rPr>
          <w:lang w:val="fr-CA"/>
        </w:rPr>
        <w:t>que la preuve administrée par les défenderesses</w:t>
      </w:r>
      <w:r w:rsidR="00A70CD2">
        <w:rPr>
          <w:lang w:val="fr-CA"/>
        </w:rPr>
        <w:t xml:space="preserve"> démontre qu’il y</w:t>
      </w:r>
      <w:r w:rsidR="00D30171">
        <w:rPr>
          <w:lang w:val="fr-CA"/>
        </w:rPr>
        <w:t xml:space="preserve"> a une </w:t>
      </w:r>
      <w:r>
        <w:rPr>
          <w:lang w:val="fr-CA"/>
        </w:rPr>
        <w:t xml:space="preserve">disproportion </w:t>
      </w:r>
      <w:r w:rsidR="00D30171">
        <w:rPr>
          <w:lang w:val="fr-CA"/>
        </w:rPr>
        <w:t xml:space="preserve">importante </w:t>
      </w:r>
      <w:r>
        <w:rPr>
          <w:lang w:val="fr-CA"/>
        </w:rPr>
        <w:t xml:space="preserve">entre le supplément de prix qu’elles exigent et </w:t>
      </w:r>
      <w:r>
        <w:rPr>
          <w:lang w:val="fr-CA"/>
        </w:rPr>
        <w:t xml:space="preserve">ce qu’il leur en coûte </w:t>
      </w:r>
      <w:r w:rsidR="00A70CD2">
        <w:rPr>
          <w:lang w:val="fr-CA"/>
        </w:rPr>
        <w:t>pour remplacer le lait de vache par un lait végétal</w:t>
      </w:r>
      <w:r w:rsidR="006D334E">
        <w:rPr>
          <w:lang w:val="fr-CA"/>
        </w:rPr>
        <w:t>. Selon elle,</w:t>
      </w:r>
      <w:r w:rsidR="00D30171">
        <w:rPr>
          <w:lang w:val="fr-CA"/>
        </w:rPr>
        <w:t xml:space="preserve"> cette disproportion est suffisamment</w:t>
      </w:r>
      <w:r>
        <w:rPr>
          <w:lang w:val="fr-CA"/>
        </w:rPr>
        <w:t xml:space="preserve"> grande pour </w:t>
      </w:r>
      <w:r w:rsidR="00D30171">
        <w:rPr>
          <w:lang w:val="fr-CA"/>
        </w:rPr>
        <w:t xml:space="preserve">qu’il y ait une possibilité qu’elle soit </w:t>
      </w:r>
      <w:r>
        <w:rPr>
          <w:lang w:val="fr-CA"/>
        </w:rPr>
        <w:t>qualifiée de lésionnaire. Voyons ce qu’il en est.</w:t>
      </w:r>
    </w:p>
    <w:p w:rsidR="008A2600" w:rsidP="008A2600" w14:paraId="21BC86AC" w14:textId="537C4266">
      <w:pPr>
        <w:pStyle w:val="Heading4"/>
        <w:rPr>
          <w:lang w:val="fr-CA"/>
        </w:rPr>
      </w:pPr>
      <w:r>
        <w:rPr>
          <w:lang w:val="fr-CA"/>
        </w:rPr>
        <w:t>Starbucks</w:t>
      </w:r>
    </w:p>
    <w:p w:rsidR="007F5FD4" w:rsidRPr="001B35E7" w:rsidP="001B35E7" w14:paraId="70AF8EDB" w14:textId="703A559F">
      <w:pPr>
        <w:pStyle w:val="Paragrdouble"/>
        <w:spacing w:line="240" w:lineRule="auto"/>
        <w:rPr>
          <w:lang w:val="fr-CA"/>
        </w:rPr>
      </w:pPr>
      <w:r w:rsidRPr="00DE25DB">
        <w:rPr>
          <w:lang w:val="fr-CA"/>
        </w:rPr>
        <w:t>À l’audience,</w:t>
      </w:r>
      <w:r w:rsidRPr="00DE25DB" w:rsidR="00282FAF">
        <w:rPr>
          <w:lang w:val="fr-CA"/>
        </w:rPr>
        <w:t xml:space="preserve"> Starbucks</w:t>
      </w:r>
      <w:r w:rsidRPr="00DE25DB">
        <w:rPr>
          <w:lang w:val="fr-CA"/>
        </w:rPr>
        <w:t xml:space="preserve"> admet qu’elle encourt</w:t>
      </w:r>
      <w:r w:rsidRPr="00DE25DB" w:rsidR="00351A67">
        <w:rPr>
          <w:lang w:val="fr-CA"/>
        </w:rPr>
        <w:t xml:space="preserve"> </w:t>
      </w:r>
      <w:r w:rsidR="001B35E7">
        <w:rPr>
          <w:lang w:val="fr-CA"/>
        </w:rPr>
        <w:t xml:space="preserve">un coût additionnel de </w:t>
      </w:r>
      <w:r w:rsidRPr="00DE25DB" w:rsidR="001B35E7">
        <w:rPr>
          <w:lang w:val="fr-CA"/>
        </w:rPr>
        <w:t xml:space="preserve">0,12 $ </w:t>
      </w:r>
      <w:r w:rsidR="001B35E7">
        <w:rPr>
          <w:lang w:val="fr-CA"/>
        </w:rPr>
        <w:t>lorsqu’elle remplace</w:t>
      </w:r>
      <w:r w:rsidRPr="001B35E7" w:rsidR="00351A67">
        <w:rPr>
          <w:lang w:val="fr-CA"/>
        </w:rPr>
        <w:t xml:space="preserve"> le lait de vache par </w:t>
      </w:r>
      <w:r w:rsidRPr="001B35E7">
        <w:rPr>
          <w:lang w:val="fr-CA"/>
        </w:rPr>
        <w:t>un substitut laitier</w:t>
      </w:r>
      <w:r w:rsidR="001B35E7">
        <w:rPr>
          <w:lang w:val="fr-CA"/>
        </w:rPr>
        <w:t xml:space="preserve"> dans un breuvage</w:t>
      </w:r>
      <w:r w:rsidRPr="001B35E7" w:rsidR="00351A67">
        <w:rPr>
          <w:lang w:val="fr-CA"/>
        </w:rPr>
        <w:t xml:space="preserve">, alors </w:t>
      </w:r>
      <w:r w:rsidRPr="001B35E7">
        <w:rPr>
          <w:lang w:val="fr-CA"/>
        </w:rPr>
        <w:t xml:space="preserve">qu’elle </w:t>
      </w:r>
      <w:r w:rsidRPr="001B35E7" w:rsidR="00351A67">
        <w:rPr>
          <w:lang w:val="fr-CA"/>
        </w:rPr>
        <w:t>facture 0,80 $</w:t>
      </w:r>
      <w:r w:rsidRPr="001B35E7">
        <w:rPr>
          <w:lang w:val="fr-CA"/>
        </w:rPr>
        <w:t xml:space="preserve"> au consommateur</w:t>
      </w:r>
      <w:r w:rsidR="001B35E7">
        <w:rPr>
          <w:lang w:val="fr-CA"/>
        </w:rPr>
        <w:t xml:space="preserve"> pour la substitution</w:t>
      </w:r>
      <w:r w:rsidRPr="001B35E7" w:rsidR="00351A67">
        <w:rPr>
          <w:lang w:val="fr-CA"/>
        </w:rPr>
        <w:t xml:space="preserve">. </w:t>
      </w:r>
      <w:r w:rsidRPr="001B35E7" w:rsidR="00B62598">
        <w:rPr>
          <w:lang w:val="fr-CA"/>
        </w:rPr>
        <w:t xml:space="preserve">De sa propre </w:t>
      </w:r>
      <w:r w:rsidRPr="001B35E7" w:rsidR="00934ADC">
        <w:rPr>
          <w:lang w:val="fr-CA"/>
        </w:rPr>
        <w:t xml:space="preserve">admission, </w:t>
      </w:r>
      <w:r w:rsidRPr="001B35E7">
        <w:rPr>
          <w:lang w:val="fr-CA"/>
        </w:rPr>
        <w:t>Starbucks</w:t>
      </w:r>
      <w:r w:rsidRPr="001B35E7" w:rsidR="00934ADC">
        <w:rPr>
          <w:lang w:val="fr-CA"/>
        </w:rPr>
        <w:t xml:space="preserve"> facture donc </w:t>
      </w:r>
      <w:r w:rsidRPr="001B35E7" w:rsidR="00185F4D">
        <w:rPr>
          <w:lang w:val="fr-CA"/>
        </w:rPr>
        <w:t xml:space="preserve">aux consommateurs </w:t>
      </w:r>
      <w:r w:rsidR="001B35E7">
        <w:rPr>
          <w:lang w:val="fr-CA"/>
        </w:rPr>
        <w:t>plus de six</w:t>
      </w:r>
      <w:r w:rsidRPr="001B35E7" w:rsidR="00934ADC">
        <w:rPr>
          <w:lang w:val="fr-CA"/>
        </w:rPr>
        <w:t xml:space="preserve"> fois</w:t>
      </w:r>
      <w:r w:rsidRPr="001B35E7" w:rsidR="00683F2A">
        <w:rPr>
          <w:lang w:val="fr-CA"/>
        </w:rPr>
        <w:t xml:space="preserve"> </w:t>
      </w:r>
      <w:r w:rsidR="001B35E7">
        <w:rPr>
          <w:lang w:val="fr-CA"/>
        </w:rPr>
        <w:t xml:space="preserve">le coût </w:t>
      </w:r>
      <w:r w:rsidR="001B3359">
        <w:rPr>
          <w:lang w:val="fr-CA"/>
        </w:rPr>
        <w:t>qu’elle supporte lorsqu’elle remplace le lait de vache par du</w:t>
      </w:r>
      <w:r w:rsidRPr="001B35E7" w:rsidR="00683F2A">
        <w:rPr>
          <w:lang w:val="fr-CA"/>
        </w:rPr>
        <w:t xml:space="preserve"> lait végétal ou sans lactose</w:t>
      </w:r>
      <w:r w:rsidR="001B3359">
        <w:rPr>
          <w:lang w:val="fr-CA"/>
        </w:rPr>
        <w:t xml:space="preserve"> dans ses breuvages</w:t>
      </w:r>
      <w:r w:rsidRPr="001B35E7" w:rsidR="00934ADC">
        <w:rPr>
          <w:lang w:val="fr-CA"/>
        </w:rPr>
        <w:t>.</w:t>
      </w:r>
    </w:p>
    <w:p w:rsidR="00DE25DB" w:rsidP="001E71E3" w14:paraId="0BA4196D" w14:textId="19CEA854">
      <w:pPr>
        <w:pStyle w:val="Paragrdouble"/>
        <w:spacing w:line="240" w:lineRule="auto"/>
        <w:rPr>
          <w:lang w:val="fr-CA"/>
        </w:rPr>
      </w:pPr>
      <w:r>
        <w:rPr>
          <w:lang w:val="fr-CA"/>
        </w:rPr>
        <w:t>C</w:t>
      </w:r>
      <w:r>
        <w:rPr>
          <w:lang w:val="fr-CA"/>
        </w:rPr>
        <w:t xml:space="preserve">ette preuve </w:t>
      </w:r>
      <w:r>
        <w:rPr>
          <w:i/>
          <w:iCs/>
          <w:lang w:val="fr-CA"/>
        </w:rPr>
        <w:t>prima facie</w:t>
      </w:r>
      <w:r>
        <w:rPr>
          <w:lang w:val="fr-CA"/>
        </w:rPr>
        <w:t xml:space="preserve"> permet de soutenir que le prix du supplément </w:t>
      </w:r>
      <w:r w:rsidR="005A30BB">
        <w:rPr>
          <w:lang w:val="fr-CA"/>
        </w:rPr>
        <w:t xml:space="preserve">exigé dans les restaurants Starbucks </w:t>
      </w:r>
      <w:r>
        <w:rPr>
          <w:lang w:val="fr-CA"/>
        </w:rPr>
        <w:t>est objectivement lésionnaire au sens de l’article 8 L.p.c.</w:t>
      </w:r>
      <w:r>
        <w:rPr>
          <w:lang w:val="fr-CA"/>
        </w:rPr>
        <w:t xml:space="preserve"> </w:t>
      </w:r>
      <w:r w:rsidR="00A70CD2">
        <w:rPr>
          <w:lang w:val="fr-CA"/>
        </w:rPr>
        <w:t>En effet, i</w:t>
      </w:r>
      <w:r>
        <w:rPr>
          <w:lang w:val="fr-CA"/>
        </w:rPr>
        <w:t xml:space="preserve">l ne parait pas frivole ou manifestement mal fondé de </w:t>
      </w:r>
      <w:r w:rsidR="001B35E7">
        <w:rPr>
          <w:lang w:val="fr-CA"/>
        </w:rPr>
        <w:t>soutenir</w:t>
      </w:r>
      <w:r>
        <w:rPr>
          <w:lang w:val="fr-CA"/>
        </w:rPr>
        <w:t xml:space="preserve"> qu’il est disproportionné de facturer au consommateur plus de six fois ce qu’il en coute au commerçant pour remplacer le lait de vache par un lait végétal dans son thé ou son café et que cette disproportion est suffisamment importante pour léser gravement le consommateur.</w:t>
      </w:r>
      <w:r w:rsidR="006F082B">
        <w:rPr>
          <w:lang w:val="fr-CA"/>
        </w:rPr>
        <w:t xml:space="preserve"> </w:t>
      </w:r>
    </w:p>
    <w:p w:rsidR="00A700C3" w:rsidP="001E71E3" w14:paraId="109256F9" w14:textId="77777777">
      <w:pPr>
        <w:pStyle w:val="Paragrdouble"/>
        <w:spacing w:line="240" w:lineRule="auto"/>
        <w:rPr>
          <w:lang w:val="fr-CA"/>
        </w:rPr>
      </w:pPr>
      <w:r>
        <w:rPr>
          <w:lang w:val="fr-CA"/>
        </w:rPr>
        <w:t xml:space="preserve">Starbucks soutient </w:t>
      </w:r>
      <w:r w:rsidR="001B3359">
        <w:rPr>
          <w:lang w:val="fr-CA"/>
        </w:rPr>
        <w:t>qu’il est</w:t>
      </w:r>
      <w:r>
        <w:rPr>
          <w:lang w:val="fr-CA"/>
        </w:rPr>
        <w:t xml:space="preserve"> </w:t>
      </w:r>
      <w:r w:rsidR="001B3359">
        <w:rPr>
          <w:lang w:val="fr-CA"/>
        </w:rPr>
        <w:t>erroné de comparer le prix du supplément (0,80 $) avec le coût encouru pour utiliser des substituts laitiers (0,12 $)</w:t>
      </w:r>
      <w:r>
        <w:rPr>
          <w:lang w:val="fr-CA"/>
        </w:rPr>
        <w:t xml:space="preserve">. </w:t>
      </w:r>
      <w:r w:rsidR="001B35E7">
        <w:rPr>
          <w:lang w:val="fr-CA"/>
        </w:rPr>
        <w:t>Elle argue que</w:t>
      </w:r>
      <w:r>
        <w:rPr>
          <w:lang w:val="fr-CA"/>
        </w:rPr>
        <w:t xml:space="preserve"> </w:t>
      </w:r>
      <w:r w:rsidR="005A30BB">
        <w:rPr>
          <w:lang w:val="fr-CA"/>
        </w:rPr>
        <w:t xml:space="preserve">les restaurants Starbucks </w:t>
      </w:r>
      <w:r>
        <w:rPr>
          <w:lang w:val="fr-CA"/>
        </w:rPr>
        <w:t>ne vend</w:t>
      </w:r>
      <w:r w:rsidR="005A30BB">
        <w:rPr>
          <w:lang w:val="fr-CA"/>
        </w:rPr>
        <w:t>ent</w:t>
      </w:r>
      <w:r>
        <w:rPr>
          <w:lang w:val="fr-CA"/>
        </w:rPr>
        <w:t xml:space="preserve"> pas de lait, mais plutôt des breuvages</w:t>
      </w:r>
      <w:r w:rsidR="00B2335C">
        <w:rPr>
          <w:lang w:val="fr-CA"/>
        </w:rPr>
        <w:t xml:space="preserve"> </w:t>
      </w:r>
      <w:r w:rsidR="00D30171">
        <w:rPr>
          <w:lang w:val="fr-CA"/>
        </w:rPr>
        <w:t xml:space="preserve">dont l’un des </w:t>
      </w:r>
      <w:r w:rsidR="00372E83">
        <w:rPr>
          <w:lang w:val="fr-CA"/>
        </w:rPr>
        <w:t>ingrédients</w:t>
      </w:r>
      <w:r w:rsidR="00D30171">
        <w:rPr>
          <w:lang w:val="fr-CA"/>
        </w:rPr>
        <w:t xml:space="preserve"> est du lait</w:t>
      </w:r>
      <w:r w:rsidR="00B2335C">
        <w:rPr>
          <w:lang w:val="fr-CA"/>
        </w:rPr>
        <w:t xml:space="preserve">. </w:t>
      </w:r>
      <w:r w:rsidR="00A70CD2">
        <w:rPr>
          <w:lang w:val="fr-CA"/>
        </w:rPr>
        <w:t xml:space="preserve">Selon elle, il faudrait donc plutôt comparer </w:t>
      </w:r>
      <w:r w:rsidR="001B3359">
        <w:rPr>
          <w:lang w:val="fr-CA"/>
        </w:rPr>
        <w:t>le prix du breuvage contenant du lait végétal (</w:t>
      </w:r>
      <w:r w:rsidR="00047528">
        <w:rPr>
          <w:lang w:val="fr-CA"/>
        </w:rPr>
        <w:t>6,80</w:t>
      </w:r>
      <w:r w:rsidR="001B3359">
        <w:rPr>
          <w:lang w:val="fr-CA"/>
        </w:rPr>
        <w:t xml:space="preserve"> $) </w:t>
      </w:r>
      <w:r w:rsidR="00A70CD2">
        <w:rPr>
          <w:lang w:val="fr-CA"/>
        </w:rPr>
        <w:t>avec le</w:t>
      </w:r>
      <w:r w:rsidR="001B3359">
        <w:rPr>
          <w:lang w:val="fr-CA"/>
        </w:rPr>
        <w:t xml:space="preserve"> prix du </w:t>
      </w:r>
      <w:r w:rsidRPr="00952AB6" w:rsidR="00952AB6">
        <w:rPr>
          <w:lang w:val="fr-CA"/>
        </w:rPr>
        <w:t>même breuvage contenant du lait de vache</w:t>
      </w:r>
      <w:r w:rsidR="00952AB6">
        <w:rPr>
          <w:lang w:val="fr-CA"/>
        </w:rPr>
        <w:t xml:space="preserve"> </w:t>
      </w:r>
      <w:r w:rsidR="001B3359">
        <w:rPr>
          <w:lang w:val="fr-CA"/>
        </w:rPr>
        <w:t>(</w:t>
      </w:r>
      <w:r w:rsidRPr="00952AB6" w:rsidR="00952AB6">
        <w:rPr>
          <w:lang w:val="fr-CA"/>
        </w:rPr>
        <w:t>6,00 $</w:t>
      </w:r>
      <w:r w:rsidR="001B3359">
        <w:rPr>
          <w:lang w:val="fr-CA"/>
        </w:rPr>
        <w:t>)</w:t>
      </w:r>
      <w:r w:rsidRPr="00952AB6" w:rsidR="00683F2A">
        <w:rPr>
          <w:lang w:val="fr-CA"/>
        </w:rPr>
        <w:t>.</w:t>
      </w:r>
      <w:r w:rsidR="00047528">
        <w:rPr>
          <w:lang w:val="fr-CA"/>
        </w:rPr>
        <w:t xml:space="preserve"> </w:t>
      </w:r>
      <w:r w:rsidR="00D30171">
        <w:rPr>
          <w:lang w:val="fr-CA"/>
        </w:rPr>
        <w:t xml:space="preserve">Selon elle, </w:t>
      </w:r>
      <w:r w:rsidR="007D0ACB">
        <w:rPr>
          <w:lang w:val="fr-CA"/>
        </w:rPr>
        <w:t xml:space="preserve">la différence de prix </w:t>
      </w:r>
      <w:r w:rsidR="00A70CD2">
        <w:rPr>
          <w:lang w:val="fr-CA"/>
        </w:rPr>
        <w:t>des</w:t>
      </w:r>
      <w:r w:rsidR="007D0ACB">
        <w:rPr>
          <w:lang w:val="fr-CA"/>
        </w:rPr>
        <w:t xml:space="preserve"> deux breuvages est </w:t>
      </w:r>
      <w:r w:rsidR="00047528">
        <w:rPr>
          <w:lang w:val="fr-CA"/>
        </w:rPr>
        <w:t>de l’ordre de 13,33</w:t>
      </w:r>
      <w:r w:rsidR="007D0ACB">
        <w:rPr>
          <w:lang w:val="fr-CA"/>
        </w:rPr>
        <w:t> </w:t>
      </w:r>
      <w:r w:rsidR="00047528">
        <w:rPr>
          <w:lang w:val="fr-CA"/>
        </w:rPr>
        <w:t>%</w:t>
      </w:r>
      <w:r w:rsidR="007D0ACB">
        <w:rPr>
          <w:lang w:val="fr-CA"/>
        </w:rPr>
        <w:t>, ce qui</w:t>
      </w:r>
      <w:r w:rsidR="00D30171">
        <w:rPr>
          <w:lang w:val="fr-CA"/>
        </w:rPr>
        <w:t xml:space="preserve"> </w:t>
      </w:r>
      <w:r w:rsidR="00047528">
        <w:rPr>
          <w:lang w:val="fr-CA"/>
        </w:rPr>
        <w:t xml:space="preserve">ne peut pas </w:t>
      </w:r>
      <w:r w:rsidR="00D30171">
        <w:rPr>
          <w:lang w:val="fr-CA"/>
        </w:rPr>
        <w:t xml:space="preserve">raisonnablement </w:t>
      </w:r>
      <w:r w:rsidR="00047528">
        <w:rPr>
          <w:lang w:val="fr-CA"/>
        </w:rPr>
        <w:t>être qualifié de lésionnaire.</w:t>
      </w:r>
      <w:r w:rsidR="00952AB6">
        <w:rPr>
          <w:lang w:val="fr-CA"/>
        </w:rPr>
        <w:t xml:space="preserve"> </w:t>
      </w:r>
    </w:p>
    <w:p w:rsidR="001B3359" w:rsidP="001E71E3" w14:paraId="5F36DB83" w14:textId="22482A7C">
      <w:pPr>
        <w:pStyle w:val="Paragrdouble"/>
        <w:spacing w:line="240" w:lineRule="auto"/>
        <w:rPr>
          <w:lang w:val="fr-CA"/>
        </w:rPr>
      </w:pPr>
      <w:r>
        <w:rPr>
          <w:lang w:val="fr-CA"/>
        </w:rPr>
        <w:t xml:space="preserve">Le Tribunal </w:t>
      </w:r>
      <w:r w:rsidR="001B35E7">
        <w:rPr>
          <w:lang w:val="fr-CA"/>
        </w:rPr>
        <w:t xml:space="preserve">ne retient pas cet argument. </w:t>
      </w:r>
      <w:r>
        <w:rPr>
          <w:lang w:val="fr-CA"/>
        </w:rPr>
        <w:t xml:space="preserve">D’une part, </w:t>
      </w:r>
      <w:r w:rsidR="001B35E7">
        <w:rPr>
          <w:lang w:val="fr-CA"/>
        </w:rPr>
        <w:t xml:space="preserve">les factures produites en preuve </w:t>
      </w:r>
      <w:r w:rsidR="0008001F">
        <w:rPr>
          <w:lang w:val="fr-CA"/>
        </w:rPr>
        <w:t>indiquent que le montant de 0,80 $</w:t>
      </w:r>
      <w:r w:rsidR="00CD72BA">
        <w:rPr>
          <w:lang w:val="fr-CA"/>
        </w:rPr>
        <w:t xml:space="preserve"> chargé pour l’utilisation des</w:t>
      </w:r>
      <w:r w:rsidR="0008001F">
        <w:rPr>
          <w:lang w:val="fr-CA"/>
        </w:rPr>
        <w:t xml:space="preserve"> laits végétaux est un </w:t>
      </w:r>
      <w:r w:rsidR="001B35E7">
        <w:rPr>
          <w:lang w:val="fr-CA"/>
        </w:rPr>
        <w:t xml:space="preserve">item séparé du </w:t>
      </w:r>
      <w:r w:rsidR="0008001F">
        <w:rPr>
          <w:lang w:val="fr-CA"/>
        </w:rPr>
        <w:t xml:space="preserve">prix du </w:t>
      </w:r>
      <w:r w:rsidR="001B35E7">
        <w:rPr>
          <w:lang w:val="fr-CA"/>
        </w:rPr>
        <w:t>breuvage, ce qui permet de soutenir que Starbucks vend, effectivement, les substituts laitiers</w:t>
      </w:r>
      <w:r>
        <w:rPr>
          <w:rStyle w:val="FootnoteReference"/>
          <w:lang w:val="fr-CA"/>
        </w:rPr>
        <w:footnoteReference w:id="44"/>
      </w:r>
      <w:r w:rsidR="001B35E7">
        <w:rPr>
          <w:lang w:val="fr-CA"/>
        </w:rPr>
        <w:t xml:space="preserve">. </w:t>
      </w:r>
      <w:r>
        <w:rPr>
          <w:lang w:val="fr-CA"/>
        </w:rPr>
        <w:t xml:space="preserve">D’autre part, l’approche de Starbucks revient à </w:t>
      </w:r>
      <w:r>
        <w:rPr>
          <w:lang w:val="fr-CA"/>
        </w:rPr>
        <w:t xml:space="preserve">comparer </w:t>
      </w:r>
      <w:r w:rsidR="0008001F">
        <w:rPr>
          <w:lang w:val="fr-CA"/>
        </w:rPr>
        <w:t>le prix de deux breuvages différents</w:t>
      </w:r>
      <w:r w:rsidR="00D30171">
        <w:rPr>
          <w:lang w:val="fr-CA"/>
        </w:rPr>
        <w:t> : un breuvage à base de lait de vache et un breuvage à base de lait végétal</w:t>
      </w:r>
      <w:r w:rsidR="0008001F">
        <w:rPr>
          <w:lang w:val="fr-CA"/>
        </w:rPr>
        <w:t xml:space="preserve">. Or, </w:t>
      </w:r>
      <w:r w:rsidR="00E7365A">
        <w:rPr>
          <w:lang w:val="fr-CA"/>
        </w:rPr>
        <w:t xml:space="preserve">à première vue, </w:t>
      </w:r>
      <w:r w:rsidR="0008001F">
        <w:rPr>
          <w:lang w:val="fr-CA"/>
        </w:rPr>
        <w:t xml:space="preserve">le prix d’un </w:t>
      </w:r>
      <w:r w:rsidR="00D30171">
        <w:rPr>
          <w:lang w:val="fr-CA"/>
        </w:rPr>
        <w:t>breuvage à base de lait de vache</w:t>
      </w:r>
      <w:r w:rsidR="0008001F">
        <w:rPr>
          <w:lang w:val="fr-CA"/>
        </w:rPr>
        <w:t xml:space="preserve"> </w:t>
      </w:r>
      <w:r w:rsidR="00E7365A">
        <w:rPr>
          <w:lang w:val="fr-CA"/>
        </w:rPr>
        <w:t>ne fournit</w:t>
      </w:r>
      <w:r w:rsidR="0008001F">
        <w:rPr>
          <w:lang w:val="fr-CA"/>
        </w:rPr>
        <w:t>, en soi, aucune information utile concernant la valeur d’un breuvage</w:t>
      </w:r>
      <w:r w:rsidR="00B36454">
        <w:rPr>
          <w:lang w:val="fr-CA"/>
        </w:rPr>
        <w:t xml:space="preserve"> différent</w:t>
      </w:r>
      <w:r w:rsidR="0008001F">
        <w:rPr>
          <w:lang w:val="fr-CA"/>
        </w:rPr>
        <w:t>,</w:t>
      </w:r>
      <w:r w:rsidR="00B36454">
        <w:rPr>
          <w:lang w:val="fr-CA"/>
        </w:rPr>
        <w:t xml:space="preserve"> fait</w:t>
      </w:r>
      <w:r w:rsidR="0008001F">
        <w:rPr>
          <w:lang w:val="fr-CA"/>
        </w:rPr>
        <w:t xml:space="preserve"> à base de lait végétal</w:t>
      </w:r>
      <w:r w:rsidR="00963309">
        <w:rPr>
          <w:lang w:val="fr-CA"/>
        </w:rPr>
        <w:t>.</w:t>
      </w:r>
    </w:p>
    <w:p w:rsidR="00A700C3" w:rsidP="00A700C3" w14:paraId="0489BCCE" w14:textId="5599DD74">
      <w:pPr>
        <w:pStyle w:val="Paragrdouble"/>
        <w:spacing w:line="240" w:lineRule="auto"/>
        <w:rPr>
          <w:lang w:val="fr-CA"/>
        </w:rPr>
      </w:pPr>
      <w:r>
        <w:rPr>
          <w:lang w:val="fr-CA"/>
        </w:rPr>
        <w:t>Alternativement, Starbucks suggère qu’il faudrait comparer le prix du breuvage avec le coût du lait ou du substitut laitier. Elle argue que le prix d’un breuvage à base de lait de vache (6,00 $) correspond à 9,</w:t>
      </w:r>
      <w:r w:rsidR="00152899">
        <w:rPr>
          <w:lang w:val="fr-CA"/>
        </w:rPr>
        <w:t>3</w:t>
      </w:r>
      <w:r>
        <w:rPr>
          <w:lang w:val="fr-CA"/>
        </w:rPr>
        <w:t xml:space="preserve"> fois le coût du lait, alors que le prix d’un breuvage à base de lait végétal (6,80 $) correspond à </w:t>
      </w:r>
      <w:r w:rsidR="00F50F7A">
        <w:rPr>
          <w:lang w:val="fr-CA"/>
        </w:rPr>
        <w:t>neuf</w:t>
      </w:r>
      <w:r>
        <w:rPr>
          <w:lang w:val="fr-CA"/>
        </w:rPr>
        <w:t xml:space="preserve"> fois le coût du lait. Selon elle, il n’est pas soutenable de prétendre que le multiplicateur de </w:t>
      </w:r>
      <w:r w:rsidR="00152899">
        <w:rPr>
          <w:lang w:val="fr-CA"/>
        </w:rPr>
        <w:t>9,3</w:t>
      </w:r>
      <w:r>
        <w:rPr>
          <w:lang w:val="fr-CA"/>
        </w:rPr>
        <w:t xml:space="preserve"> serait acceptable, mais que le multiplicateur de </w:t>
      </w:r>
      <w:r w:rsidR="00F50F7A">
        <w:rPr>
          <w:lang w:val="fr-CA"/>
        </w:rPr>
        <w:t>neuf</w:t>
      </w:r>
      <w:r>
        <w:rPr>
          <w:lang w:val="fr-CA"/>
        </w:rPr>
        <w:t xml:space="preserve"> serait lésionnaire</w:t>
      </w:r>
      <w:r>
        <w:rPr>
          <w:rStyle w:val="FootnoteReference"/>
          <w:lang w:val="fr-CA"/>
        </w:rPr>
        <w:footnoteReference w:id="45"/>
      </w:r>
      <w:r>
        <w:rPr>
          <w:lang w:val="fr-CA"/>
        </w:rPr>
        <w:t xml:space="preserve">. Le Tribunal ne retient pas cet argument. </w:t>
      </w:r>
      <w:r w:rsidR="00BB5792">
        <w:rPr>
          <w:lang w:val="fr-CA"/>
        </w:rPr>
        <w:t>À première vue, l</w:t>
      </w:r>
      <w:r>
        <w:rPr>
          <w:lang w:val="fr-CA"/>
        </w:rPr>
        <w:t>’utilisation d</w:t>
      </w:r>
      <w:r w:rsidR="0051347C">
        <w:rPr>
          <w:lang w:val="fr-CA"/>
        </w:rPr>
        <w:t>u</w:t>
      </w:r>
      <w:r>
        <w:rPr>
          <w:lang w:val="fr-CA"/>
        </w:rPr>
        <w:t xml:space="preserve"> multiplicateur </w:t>
      </w:r>
      <w:r w:rsidR="0051347C">
        <w:rPr>
          <w:lang w:val="fr-CA"/>
        </w:rPr>
        <w:t xml:space="preserve">proposé </w:t>
      </w:r>
      <w:r>
        <w:rPr>
          <w:lang w:val="fr-CA"/>
        </w:rPr>
        <w:t xml:space="preserve">ne fournit aucune information utile concernant l’existence </w:t>
      </w:r>
      <w:r w:rsidR="00F1701D">
        <w:rPr>
          <w:lang w:val="fr-CA"/>
        </w:rPr>
        <w:t>et l’importance de la</w:t>
      </w:r>
      <w:r>
        <w:rPr>
          <w:lang w:val="fr-CA"/>
        </w:rPr>
        <w:t xml:space="preserve"> disproportion entre </w:t>
      </w:r>
      <w:r w:rsidR="001D6F5B">
        <w:rPr>
          <w:lang w:val="fr-CA"/>
        </w:rPr>
        <w:t>le prix</w:t>
      </w:r>
      <w:r>
        <w:rPr>
          <w:lang w:val="fr-CA"/>
        </w:rPr>
        <w:t xml:space="preserve"> que le consommateur paye et </w:t>
      </w:r>
      <w:r w:rsidR="001D6F5B">
        <w:rPr>
          <w:lang w:val="fr-CA"/>
        </w:rPr>
        <w:t xml:space="preserve">la valeur de </w:t>
      </w:r>
      <w:r>
        <w:rPr>
          <w:lang w:val="fr-CA"/>
        </w:rPr>
        <w:t>ce qu’il reçoit.</w:t>
      </w:r>
    </w:p>
    <w:p w:rsidR="00E7365A" w:rsidP="00AE1479" w14:paraId="34AD5970" w14:textId="5193AB42">
      <w:pPr>
        <w:pStyle w:val="Paragrdouble"/>
        <w:spacing w:line="240" w:lineRule="auto"/>
        <w:rPr>
          <w:lang w:val="fr-CA"/>
        </w:rPr>
      </w:pPr>
      <w:r>
        <w:rPr>
          <w:lang w:val="fr-CA"/>
        </w:rPr>
        <w:t xml:space="preserve">En somme, Starbucks </w:t>
      </w:r>
      <w:r>
        <w:rPr>
          <w:lang w:val="fr-CA"/>
        </w:rPr>
        <w:t xml:space="preserve">formule des arguments intéressants qu’elle pourra développer au mérite de l’action collective. Elle </w:t>
      </w:r>
      <w:r>
        <w:rPr>
          <w:lang w:val="fr-CA"/>
        </w:rPr>
        <w:t xml:space="preserve">ne démontre </w:t>
      </w:r>
      <w:r>
        <w:rPr>
          <w:lang w:val="fr-CA"/>
        </w:rPr>
        <w:t xml:space="preserve">toutefois pas, à ce stade, </w:t>
      </w:r>
      <w:r>
        <w:rPr>
          <w:lang w:val="fr-CA"/>
        </w:rPr>
        <w:t xml:space="preserve">qu’il </w:t>
      </w:r>
      <w:r w:rsidR="007D0AA2">
        <w:rPr>
          <w:lang w:val="fr-CA"/>
        </w:rPr>
        <w:t>est manifestement mal fondé</w:t>
      </w:r>
      <w:r w:rsidR="00152899">
        <w:rPr>
          <w:lang w:val="fr-CA"/>
        </w:rPr>
        <w:t xml:space="preserve"> </w:t>
      </w:r>
      <w:r w:rsidR="00CD72BA">
        <w:rPr>
          <w:lang w:val="fr-CA"/>
        </w:rPr>
        <w:t xml:space="preserve">de </w:t>
      </w:r>
      <w:r w:rsidRPr="001B3359" w:rsidR="00CD72BA">
        <w:rPr>
          <w:lang w:val="fr-CA"/>
        </w:rPr>
        <w:t xml:space="preserve">comparer </w:t>
      </w:r>
      <w:r w:rsidR="00CD72BA">
        <w:rPr>
          <w:lang w:val="fr-CA"/>
        </w:rPr>
        <w:t>le prix de la substitution</w:t>
      </w:r>
      <w:r w:rsidRPr="001B3359" w:rsidR="00CD72BA">
        <w:rPr>
          <w:lang w:val="fr-CA"/>
        </w:rPr>
        <w:t xml:space="preserve"> </w:t>
      </w:r>
      <w:r>
        <w:rPr>
          <w:lang w:val="fr-CA"/>
        </w:rPr>
        <w:t>et</w:t>
      </w:r>
      <w:r w:rsidR="00CD72BA">
        <w:rPr>
          <w:lang w:val="fr-CA"/>
        </w:rPr>
        <w:t xml:space="preserve"> </w:t>
      </w:r>
      <w:r w:rsidRPr="001B3359" w:rsidR="00CD72BA">
        <w:rPr>
          <w:lang w:val="fr-CA"/>
        </w:rPr>
        <w:t xml:space="preserve">le coût additionnel </w:t>
      </w:r>
      <w:r w:rsidR="00A700C3">
        <w:rPr>
          <w:lang w:val="fr-CA"/>
        </w:rPr>
        <w:t xml:space="preserve">qu’elle représente pour </w:t>
      </w:r>
      <w:r w:rsidR="00CD72BA">
        <w:rPr>
          <w:lang w:val="fr-CA"/>
        </w:rPr>
        <w:t>le commerçant</w:t>
      </w:r>
      <w:r w:rsidR="006A5941">
        <w:rPr>
          <w:lang w:val="fr-CA"/>
        </w:rPr>
        <w:t xml:space="preserve"> </w:t>
      </w:r>
      <w:r>
        <w:rPr>
          <w:lang w:val="fr-CA"/>
        </w:rPr>
        <w:t>afin de</w:t>
      </w:r>
      <w:r w:rsidR="006A5941">
        <w:rPr>
          <w:lang w:val="fr-CA"/>
        </w:rPr>
        <w:t xml:space="preserve"> déterminer s’il y a ouverture à un recours pour lésion objective</w:t>
      </w:r>
      <w:r w:rsidR="00CD72BA">
        <w:rPr>
          <w:lang w:val="fr-CA"/>
        </w:rPr>
        <w:t xml:space="preserve">. </w:t>
      </w:r>
    </w:p>
    <w:p w:rsidR="00DE25DB" w:rsidRPr="001B3359" w:rsidP="00AE1479" w14:paraId="40BA3A4A" w14:textId="6497F560">
      <w:pPr>
        <w:pStyle w:val="Paragrdouble"/>
        <w:spacing w:line="240" w:lineRule="auto"/>
        <w:rPr>
          <w:lang w:val="fr-CA"/>
        </w:rPr>
      </w:pPr>
      <w:r>
        <w:rPr>
          <w:lang w:val="fr-CA"/>
        </w:rPr>
        <w:t>Or, il y a une</w:t>
      </w:r>
      <w:r w:rsidRPr="001B3359" w:rsidR="001B35E7">
        <w:rPr>
          <w:lang w:val="fr-CA"/>
        </w:rPr>
        <w:t xml:space="preserve"> </w:t>
      </w:r>
      <w:r>
        <w:rPr>
          <w:lang w:val="fr-CA"/>
        </w:rPr>
        <w:t>disproportion importante</w:t>
      </w:r>
      <w:r w:rsidRPr="001B3359" w:rsidR="001B35E7">
        <w:rPr>
          <w:lang w:val="fr-CA"/>
        </w:rPr>
        <w:t xml:space="preserve"> entre le prix du supplément facturé par Starbucks </w:t>
      </w:r>
      <w:r w:rsidRPr="001B3359" w:rsidR="00047528">
        <w:rPr>
          <w:lang w:val="fr-CA"/>
        </w:rPr>
        <w:t xml:space="preserve">pour remplacer le lait de vache par un substitut laitier </w:t>
      </w:r>
      <w:r w:rsidRPr="001B3359" w:rsidR="001B35E7">
        <w:rPr>
          <w:lang w:val="fr-CA"/>
        </w:rPr>
        <w:t xml:space="preserve">et le coût </w:t>
      </w:r>
      <w:r w:rsidRPr="001B3359" w:rsidR="00B2335C">
        <w:rPr>
          <w:lang w:val="fr-CA"/>
        </w:rPr>
        <w:t xml:space="preserve">additionnel </w:t>
      </w:r>
      <w:r w:rsidRPr="001B3359" w:rsidR="00372E83">
        <w:rPr>
          <w:lang w:val="fr-CA"/>
        </w:rPr>
        <w:t>qu’elle</w:t>
      </w:r>
      <w:r w:rsidRPr="001B3359" w:rsidR="00047528">
        <w:rPr>
          <w:lang w:val="fr-CA"/>
        </w:rPr>
        <w:t xml:space="preserve"> encourt pour confectionner le breuvage</w:t>
      </w:r>
      <w:r w:rsidR="00062017">
        <w:rPr>
          <w:lang w:val="fr-CA"/>
        </w:rPr>
        <w:t>, le premier étant six fois plus élevé que le second</w:t>
      </w:r>
      <w:r w:rsidRPr="001B3359" w:rsidR="001B35E7">
        <w:rPr>
          <w:lang w:val="fr-CA"/>
        </w:rPr>
        <w:t>.</w:t>
      </w:r>
      <w:r>
        <w:rPr>
          <w:lang w:val="fr-CA"/>
        </w:rPr>
        <w:t xml:space="preserve"> </w:t>
      </w:r>
      <w:r w:rsidR="00152899">
        <w:rPr>
          <w:lang w:val="fr-CA"/>
        </w:rPr>
        <w:t>I</w:t>
      </w:r>
      <w:r>
        <w:rPr>
          <w:lang w:val="fr-CA"/>
        </w:rPr>
        <w:t>l n’est pas frivole, manifestement mal fondé ou insoutenable de prétendre que cette disproportion est suffisamment importante pour être qualifiée de lésionnaire par le juge qui entendra l’action collective.</w:t>
      </w:r>
    </w:p>
    <w:p w:rsidR="008A2600" w:rsidRPr="00756DC8" w:rsidP="008A2600" w14:paraId="2A1EDEF5" w14:textId="5931DA14">
      <w:pPr>
        <w:pStyle w:val="Heading4"/>
        <w:rPr>
          <w:lang w:val="fr-CA"/>
        </w:rPr>
      </w:pPr>
      <w:r>
        <w:rPr>
          <w:lang w:val="fr-CA"/>
        </w:rPr>
        <w:t>Second Cup</w:t>
      </w:r>
    </w:p>
    <w:p w:rsidR="00052D7E" w:rsidP="008E52A0" w14:paraId="6B6210B1" w14:textId="4B2D3A86">
      <w:pPr>
        <w:pStyle w:val="Paragrdouble"/>
        <w:spacing w:line="240" w:lineRule="auto"/>
        <w:rPr>
          <w:lang w:val="fr-CA"/>
        </w:rPr>
      </w:pPr>
      <w:r w:rsidRPr="00052D7E">
        <w:rPr>
          <w:lang w:val="fr-CA"/>
        </w:rPr>
        <w:t>Selon l</w:t>
      </w:r>
      <w:r w:rsidRPr="00052D7E" w:rsidR="00FA7DF9">
        <w:rPr>
          <w:lang w:val="fr-CA"/>
        </w:rPr>
        <w:t xml:space="preserve">a déclaration sous serment du représentant de </w:t>
      </w:r>
      <w:r w:rsidRPr="00052D7E" w:rsidR="002F75AF">
        <w:rPr>
          <w:lang w:val="fr-CA"/>
        </w:rPr>
        <w:t>Foodtastic</w:t>
      </w:r>
      <w:r w:rsidRPr="00052D7E" w:rsidR="00FA7DF9">
        <w:rPr>
          <w:lang w:val="fr-CA"/>
        </w:rPr>
        <w:t xml:space="preserve">, </w:t>
      </w:r>
      <w:r w:rsidRPr="00052D7E" w:rsidR="00642AB5">
        <w:rPr>
          <w:lang w:val="fr-CA"/>
        </w:rPr>
        <w:t>le coût moyen d’approvisionnement en substitut</w:t>
      </w:r>
      <w:r w:rsidR="000B3CBE">
        <w:rPr>
          <w:lang w:val="fr-CA"/>
        </w:rPr>
        <w:t>s</w:t>
      </w:r>
      <w:r w:rsidRPr="00052D7E" w:rsidR="00642AB5">
        <w:rPr>
          <w:lang w:val="fr-CA"/>
        </w:rPr>
        <w:t xml:space="preserve"> laitiers de Second Cup </w:t>
      </w:r>
      <w:r w:rsidRPr="00052D7E" w:rsidR="00911993">
        <w:rPr>
          <w:lang w:val="fr-CA"/>
        </w:rPr>
        <w:t>durant la période pertinente</w:t>
      </w:r>
      <w:r w:rsidRPr="00052D7E" w:rsidR="00642AB5">
        <w:rPr>
          <w:lang w:val="fr-CA"/>
        </w:rPr>
        <w:t xml:space="preserve"> est de </w:t>
      </w:r>
      <w:r w:rsidR="00E15317">
        <w:rPr>
          <w:lang w:val="fr-CA"/>
        </w:rPr>
        <w:t>[...]</w:t>
      </w:r>
      <w:r w:rsidRPr="0089539E" w:rsidR="00642AB5">
        <w:rPr>
          <w:lang w:val="fr-CA"/>
        </w:rPr>
        <w:t> $</w:t>
      </w:r>
      <w:r w:rsidRPr="00052D7E" w:rsidR="00642AB5">
        <w:rPr>
          <w:lang w:val="fr-CA"/>
        </w:rPr>
        <w:t xml:space="preserve"> par once liquide, alors que son coût moyen d’approvisionnement en lait de vache pour cette période </w:t>
      </w:r>
      <w:r w:rsidRPr="00052D7E" w:rsidR="00911993">
        <w:rPr>
          <w:lang w:val="fr-CA"/>
        </w:rPr>
        <w:t>est</w:t>
      </w:r>
      <w:r w:rsidRPr="00052D7E" w:rsidR="00642AB5">
        <w:rPr>
          <w:lang w:val="fr-CA"/>
        </w:rPr>
        <w:t xml:space="preserve"> de </w:t>
      </w:r>
      <w:r w:rsidR="00E15317">
        <w:rPr>
          <w:lang w:val="fr-CA"/>
        </w:rPr>
        <w:t>[...]</w:t>
      </w:r>
      <w:r w:rsidRPr="0089539E" w:rsidR="00642AB5">
        <w:rPr>
          <w:lang w:val="fr-CA"/>
        </w:rPr>
        <w:t> $.</w:t>
      </w:r>
      <w:r w:rsidRPr="00052D7E" w:rsidR="00642AB5">
        <w:rPr>
          <w:lang w:val="fr-CA"/>
        </w:rPr>
        <w:t xml:space="preserve"> </w:t>
      </w:r>
      <w:r w:rsidRPr="00052D7E" w:rsidR="00911993">
        <w:rPr>
          <w:lang w:val="fr-CA"/>
        </w:rPr>
        <w:t>Second Cup assume donc</w:t>
      </w:r>
      <w:r w:rsidRPr="00052D7E" w:rsidR="00642AB5">
        <w:rPr>
          <w:lang w:val="fr-CA"/>
        </w:rPr>
        <w:t xml:space="preserve"> </w:t>
      </w:r>
      <w:r w:rsidRPr="00052D7E" w:rsidR="00911993">
        <w:rPr>
          <w:lang w:val="fr-CA"/>
        </w:rPr>
        <w:t xml:space="preserve">un coût additionnel moyen de </w:t>
      </w:r>
      <w:r w:rsidR="00E15317">
        <w:rPr>
          <w:lang w:val="fr-CA"/>
        </w:rPr>
        <w:t>[...]</w:t>
      </w:r>
      <w:r w:rsidRPr="0089539E" w:rsidR="00642AB5">
        <w:rPr>
          <w:lang w:val="fr-CA"/>
        </w:rPr>
        <w:t> $</w:t>
      </w:r>
      <w:r w:rsidRPr="00052D7E" w:rsidR="00642AB5">
        <w:rPr>
          <w:lang w:val="fr-CA"/>
        </w:rPr>
        <w:t xml:space="preserve"> par once liquide pour préparer un breuvage à base de lait végétal ou sans lactose</w:t>
      </w:r>
      <w:r>
        <w:rPr>
          <w:rStyle w:val="FootnoteReference"/>
          <w:lang w:val="fr-CA"/>
        </w:rPr>
        <w:footnoteReference w:id="46"/>
      </w:r>
      <w:r w:rsidRPr="00052D7E" w:rsidR="00642AB5">
        <w:rPr>
          <w:lang w:val="fr-CA"/>
        </w:rPr>
        <w:t xml:space="preserve">. </w:t>
      </w:r>
    </w:p>
    <w:p w:rsidR="00642AB5" w:rsidRPr="00052D7E" w:rsidP="008E52A0" w14:paraId="4E263F30" w14:textId="34F4B3F8">
      <w:pPr>
        <w:pStyle w:val="Paragrdouble"/>
        <w:spacing w:line="240" w:lineRule="auto"/>
        <w:rPr>
          <w:lang w:val="fr-CA"/>
        </w:rPr>
      </w:pPr>
      <w:r w:rsidRPr="00052D7E">
        <w:rPr>
          <w:lang w:val="fr-CA"/>
        </w:rPr>
        <w:t xml:space="preserve">Puisqu’un breuvage contient 280 ml de lait selon la </w:t>
      </w:r>
      <w:r w:rsidR="0033722E">
        <w:rPr>
          <w:lang w:val="fr-CA"/>
        </w:rPr>
        <w:t>Demande d’autorisation</w:t>
      </w:r>
      <w:r w:rsidRPr="00052D7E">
        <w:rPr>
          <w:lang w:val="fr-CA"/>
        </w:rPr>
        <w:t xml:space="preserve">, soit 9,47 oz, </w:t>
      </w:r>
      <w:r w:rsidRPr="00052D7E" w:rsidR="00911993">
        <w:rPr>
          <w:lang w:val="fr-CA"/>
        </w:rPr>
        <w:t xml:space="preserve">Second Cup encourt un coût additionnel moyen de 0,43 $ lorsqu’elle remplace le lait de vache par un </w:t>
      </w:r>
      <w:r w:rsidR="00052D7E">
        <w:rPr>
          <w:lang w:val="fr-CA"/>
        </w:rPr>
        <w:t>lait végétal</w:t>
      </w:r>
      <w:r>
        <w:rPr>
          <w:rStyle w:val="FootnoteReference"/>
          <w:lang w:val="fr-CA"/>
        </w:rPr>
        <w:footnoteReference w:id="47"/>
      </w:r>
      <w:r w:rsidRPr="00052D7E" w:rsidR="00911993">
        <w:rPr>
          <w:lang w:val="fr-CA"/>
        </w:rPr>
        <w:t>, alors qu’elle facture 0,80 $ au consommateur pour la substitution</w:t>
      </w:r>
      <w:r w:rsidRPr="00052D7E">
        <w:rPr>
          <w:lang w:val="fr-CA"/>
        </w:rPr>
        <w:t xml:space="preserve">. </w:t>
      </w:r>
      <w:r w:rsidRPr="00052D7E" w:rsidR="00D44E3A">
        <w:rPr>
          <w:lang w:val="fr-CA"/>
        </w:rPr>
        <w:t>Les</w:t>
      </w:r>
      <w:r w:rsidRPr="00052D7E" w:rsidR="00911993">
        <w:rPr>
          <w:lang w:val="fr-CA"/>
        </w:rPr>
        <w:t xml:space="preserve"> consommateurs </w:t>
      </w:r>
      <w:r w:rsidRPr="00052D7E" w:rsidR="00D44E3A">
        <w:rPr>
          <w:lang w:val="fr-CA"/>
        </w:rPr>
        <w:t xml:space="preserve">payent donc </w:t>
      </w:r>
      <w:r w:rsidRPr="00052D7E" w:rsidR="00B062A7">
        <w:rPr>
          <w:lang w:val="fr-CA"/>
        </w:rPr>
        <w:t>un peu moins</w:t>
      </w:r>
      <w:r w:rsidRPr="00052D7E" w:rsidR="00841081">
        <w:rPr>
          <w:lang w:val="fr-CA"/>
        </w:rPr>
        <w:t xml:space="preserve"> </w:t>
      </w:r>
      <w:r w:rsidRPr="00052D7E" w:rsidR="00740117">
        <w:rPr>
          <w:lang w:val="fr-CA"/>
        </w:rPr>
        <w:t>du double de ce qu</w:t>
      </w:r>
      <w:r w:rsidRPr="00052D7E" w:rsidR="00066328">
        <w:rPr>
          <w:lang w:val="fr-CA"/>
        </w:rPr>
        <w:t>’</w:t>
      </w:r>
      <w:r w:rsidRPr="00052D7E" w:rsidR="00740117">
        <w:rPr>
          <w:lang w:val="fr-CA"/>
        </w:rPr>
        <w:t>i</w:t>
      </w:r>
      <w:r w:rsidRPr="00052D7E" w:rsidR="00066328">
        <w:rPr>
          <w:lang w:val="fr-CA"/>
        </w:rPr>
        <w:t>l</w:t>
      </w:r>
      <w:r w:rsidRPr="00052D7E" w:rsidR="00911993">
        <w:rPr>
          <w:lang w:val="fr-CA"/>
        </w:rPr>
        <w:t xml:space="preserve"> en coûte</w:t>
      </w:r>
      <w:r w:rsidRPr="00052D7E" w:rsidR="00740117">
        <w:rPr>
          <w:lang w:val="fr-CA"/>
        </w:rPr>
        <w:t xml:space="preserve"> </w:t>
      </w:r>
      <w:r w:rsidRPr="00052D7E" w:rsidR="00D44E3A">
        <w:rPr>
          <w:lang w:val="fr-CA"/>
        </w:rPr>
        <w:t xml:space="preserve">au commerçant </w:t>
      </w:r>
      <w:r w:rsidRPr="00052D7E" w:rsidR="00066328">
        <w:rPr>
          <w:lang w:val="fr-CA"/>
        </w:rPr>
        <w:t>pour utiliser un substitut laitier</w:t>
      </w:r>
      <w:r w:rsidRPr="00052D7E" w:rsidR="00911993">
        <w:rPr>
          <w:lang w:val="fr-CA"/>
        </w:rPr>
        <w:t>.</w:t>
      </w:r>
    </w:p>
    <w:p w:rsidR="0042791B" w:rsidP="005B35BE" w14:paraId="60926DBC" w14:textId="1465E56D">
      <w:pPr>
        <w:pStyle w:val="Paragrdouble"/>
        <w:spacing w:line="240" w:lineRule="auto"/>
        <w:rPr>
          <w:lang w:val="fr-CA"/>
        </w:rPr>
      </w:pPr>
      <w:r w:rsidRPr="0042791B">
        <w:rPr>
          <w:lang w:val="fr-CA"/>
        </w:rPr>
        <w:t>Il y a donc une disproportion entre</w:t>
      </w:r>
      <w:r w:rsidRPr="0042791B" w:rsidR="00D44E3A">
        <w:rPr>
          <w:lang w:val="fr-CA"/>
        </w:rPr>
        <w:t xml:space="preserve"> le coût de la substitution pour le commerçant (la valeur de ce que le consommateur reçoit) et</w:t>
      </w:r>
      <w:r w:rsidRPr="0042791B">
        <w:rPr>
          <w:lang w:val="fr-CA"/>
        </w:rPr>
        <w:t xml:space="preserve"> le </w:t>
      </w:r>
      <w:r w:rsidRPr="0042791B" w:rsidR="00D44E3A">
        <w:rPr>
          <w:lang w:val="fr-CA"/>
        </w:rPr>
        <w:t>montant</w:t>
      </w:r>
      <w:r w:rsidRPr="0042791B">
        <w:rPr>
          <w:lang w:val="fr-CA"/>
        </w:rPr>
        <w:t xml:space="preserve"> facturé par le restaurant (ce que le consommateur donne),</w:t>
      </w:r>
      <w:r w:rsidRPr="0042791B" w:rsidR="00D44E3A">
        <w:rPr>
          <w:lang w:val="fr-CA"/>
        </w:rPr>
        <w:t xml:space="preserve"> de l’ordre du simple </w:t>
      </w:r>
      <w:r w:rsidR="0051347C">
        <w:rPr>
          <w:lang w:val="fr-CA"/>
        </w:rPr>
        <w:t>à près du</w:t>
      </w:r>
      <w:r w:rsidRPr="0042791B" w:rsidR="00D44E3A">
        <w:rPr>
          <w:lang w:val="fr-CA"/>
        </w:rPr>
        <w:t xml:space="preserve"> double</w:t>
      </w:r>
      <w:r w:rsidRPr="0042791B">
        <w:rPr>
          <w:lang w:val="fr-CA"/>
        </w:rPr>
        <w:t xml:space="preserve">. </w:t>
      </w:r>
    </w:p>
    <w:p w:rsidR="006A5941" w:rsidP="005B35BE" w14:paraId="27023D6A" w14:textId="77777777">
      <w:pPr>
        <w:pStyle w:val="Paragrdouble"/>
        <w:spacing w:line="240" w:lineRule="auto"/>
        <w:rPr>
          <w:lang w:val="fr-CA"/>
        </w:rPr>
      </w:pPr>
      <w:r w:rsidRPr="0042791B">
        <w:rPr>
          <w:lang w:val="fr-CA"/>
        </w:rPr>
        <w:t xml:space="preserve">À première vue, cette disproportion ne semble pas exorbitante. Toutefois, </w:t>
      </w:r>
      <w:r w:rsidR="00982A23">
        <w:rPr>
          <w:lang w:val="fr-CA"/>
        </w:rPr>
        <w:t xml:space="preserve">le Tribunal a déjà </w:t>
      </w:r>
      <w:r w:rsidRPr="0042791B" w:rsidR="00062017">
        <w:rPr>
          <w:lang w:val="fr-CA"/>
        </w:rPr>
        <w:t>mentionné</w:t>
      </w:r>
      <w:r w:rsidR="00982A23">
        <w:rPr>
          <w:lang w:val="fr-CA"/>
        </w:rPr>
        <w:t xml:space="preserve"> que</w:t>
      </w:r>
      <w:r w:rsidRPr="0042791B" w:rsidR="00062017">
        <w:rPr>
          <w:lang w:val="fr-CA"/>
        </w:rPr>
        <w:t xml:space="preserve"> </w:t>
      </w:r>
      <w:r w:rsidRPr="0042791B">
        <w:rPr>
          <w:lang w:val="fr-CA"/>
        </w:rPr>
        <w:t xml:space="preserve">l’analyse </w:t>
      </w:r>
      <w:r w:rsidRPr="0042791B" w:rsidR="00062017">
        <w:rPr>
          <w:lang w:val="fr-CA"/>
        </w:rPr>
        <w:t xml:space="preserve">de la lésion ne se limite pas à un simple exercice mathématique. Plusieurs facteurs peuvent êtres pertinents pour déterminer si le commerçant qui </w:t>
      </w:r>
      <w:r w:rsidR="00052D7E">
        <w:rPr>
          <w:lang w:val="fr-CA"/>
        </w:rPr>
        <w:t>facture près du</w:t>
      </w:r>
      <w:r w:rsidRPr="0042791B" w:rsidR="00062017">
        <w:rPr>
          <w:lang w:val="fr-CA"/>
        </w:rPr>
        <w:t xml:space="preserve"> double de son prix coûtant exploite le consommateur au sens de l’article 8 L.p.c. </w:t>
      </w:r>
    </w:p>
    <w:p w:rsidR="007F2C78" w:rsidRPr="006A5941" w:rsidP="00072567" w14:paraId="6C969A7B" w14:textId="2C7B9B3E">
      <w:pPr>
        <w:pStyle w:val="Paragrdouble"/>
        <w:spacing w:line="240" w:lineRule="auto"/>
        <w:rPr>
          <w:lang w:val="fr-CA"/>
        </w:rPr>
      </w:pPr>
      <w:r w:rsidRPr="006A5941">
        <w:rPr>
          <w:lang w:val="fr-CA"/>
        </w:rPr>
        <w:t>L’analyse de ces facteurs relève du mérite de l’action collective.</w:t>
      </w:r>
      <w:r w:rsidR="006A5941">
        <w:rPr>
          <w:lang w:val="fr-CA"/>
        </w:rPr>
        <w:t xml:space="preserve"> </w:t>
      </w:r>
      <w:r w:rsidRPr="006A5941" w:rsidR="0059482C">
        <w:rPr>
          <w:lang w:val="fr-CA"/>
        </w:rPr>
        <w:t xml:space="preserve">À ce stade, il suffit de constater </w:t>
      </w:r>
      <w:r w:rsidRPr="006A5941">
        <w:rPr>
          <w:lang w:val="fr-CA"/>
        </w:rPr>
        <w:t xml:space="preserve">(1) qu’il </w:t>
      </w:r>
      <w:r w:rsidRPr="006A5941" w:rsidR="0059482C">
        <w:rPr>
          <w:lang w:val="fr-CA"/>
        </w:rPr>
        <w:t xml:space="preserve">y a une disproportion de l’ordre du simple au double </w:t>
      </w:r>
      <w:r w:rsidRPr="006A5941">
        <w:rPr>
          <w:lang w:val="fr-CA"/>
        </w:rPr>
        <w:t xml:space="preserve">entre le coût de la substitution et le prix facturé au consommateur </w:t>
      </w:r>
      <w:r w:rsidRPr="006A5941" w:rsidR="0059482C">
        <w:rPr>
          <w:lang w:val="fr-CA"/>
        </w:rPr>
        <w:t xml:space="preserve">et </w:t>
      </w:r>
      <w:r w:rsidRPr="006A5941">
        <w:rPr>
          <w:lang w:val="fr-CA"/>
        </w:rPr>
        <w:t xml:space="preserve">(2) </w:t>
      </w:r>
      <w:r w:rsidRPr="006A5941" w:rsidR="0059482C">
        <w:rPr>
          <w:lang w:val="fr-CA"/>
        </w:rPr>
        <w:t>qu’il est possible qu’</w:t>
      </w:r>
      <w:r w:rsidRPr="006A5941">
        <w:rPr>
          <w:lang w:val="fr-CA"/>
        </w:rPr>
        <w:t xml:space="preserve">au terme d’une analyse de l’ensemble des facteurs pertinents, cette disproportion </w:t>
      </w:r>
      <w:r w:rsidRPr="006A5941" w:rsidR="0059482C">
        <w:rPr>
          <w:lang w:val="fr-CA"/>
        </w:rPr>
        <w:t xml:space="preserve">soit </w:t>
      </w:r>
      <w:r w:rsidRPr="006A5941">
        <w:rPr>
          <w:lang w:val="fr-CA"/>
        </w:rPr>
        <w:t>jugée considérable au point de léser gravement le consommateur. Rappelons que</w:t>
      </w:r>
      <w:r w:rsidR="00DD2CAA">
        <w:rPr>
          <w:lang w:val="fr-CA"/>
        </w:rPr>
        <w:t>,</w:t>
      </w:r>
      <w:r w:rsidRPr="006A5941">
        <w:rPr>
          <w:lang w:val="fr-CA"/>
        </w:rPr>
        <w:t xml:space="preserve"> selon la </w:t>
      </w:r>
      <w:r w:rsidRPr="006A5941">
        <w:rPr>
          <w:lang w:val="fr-CA"/>
        </w:rPr>
        <w:t>jurisprudence</w:t>
      </w:r>
      <w:r w:rsidRPr="006A5941">
        <w:rPr>
          <w:lang w:val="fr-CA"/>
        </w:rPr>
        <w:t xml:space="preserve">, </w:t>
      </w:r>
      <w:r w:rsidRPr="006A5941">
        <w:rPr>
          <w:lang w:val="fr-CA"/>
        </w:rPr>
        <w:t>il n’est pas nécessaire que</w:t>
      </w:r>
      <w:r w:rsidRPr="006A5941">
        <w:rPr>
          <w:lang w:val="fr-CA"/>
        </w:rPr>
        <w:t xml:space="preserve"> cette possibilité </w:t>
      </w:r>
      <w:r w:rsidRPr="006A5941">
        <w:rPr>
          <w:lang w:val="fr-CA"/>
        </w:rPr>
        <w:t>soit</w:t>
      </w:r>
      <w:r w:rsidRPr="006A5941">
        <w:rPr>
          <w:lang w:val="fr-CA"/>
        </w:rPr>
        <w:t xml:space="preserve"> réaliste, ou même raisonnable</w:t>
      </w:r>
      <w:r>
        <w:rPr>
          <w:rStyle w:val="FootnoteReference"/>
          <w:lang w:val="fr-CA"/>
        </w:rPr>
        <w:footnoteReference w:id="48"/>
      </w:r>
      <w:r w:rsidRPr="006A5941">
        <w:rPr>
          <w:lang w:val="fr-CA"/>
        </w:rPr>
        <w:t xml:space="preserve">. </w:t>
      </w:r>
    </w:p>
    <w:p w:rsidR="008A2600" w:rsidP="008A2600" w14:paraId="2665A54A" w14:textId="48C38702">
      <w:pPr>
        <w:pStyle w:val="Heading4"/>
        <w:rPr>
          <w:lang w:val="fr-CA"/>
        </w:rPr>
      </w:pPr>
      <w:r>
        <w:rPr>
          <w:lang w:val="fr-CA"/>
        </w:rPr>
        <w:t>Tim Hortons</w:t>
      </w:r>
    </w:p>
    <w:p w:rsidR="00841081" w:rsidP="00FB7E68" w14:paraId="7AF90E3D" w14:textId="25D1D5AE">
      <w:pPr>
        <w:pStyle w:val="Paragrdouble"/>
        <w:spacing w:line="240" w:lineRule="auto"/>
        <w:rPr>
          <w:lang w:val="fr-CA"/>
        </w:rPr>
      </w:pPr>
      <w:r>
        <w:rPr>
          <w:lang w:val="fr-CA"/>
        </w:rPr>
        <w:t>Selon la déclaration sous serment produite par TDL Group</w:t>
      </w:r>
      <w:r w:rsidR="008A2600">
        <w:rPr>
          <w:lang w:val="fr-CA"/>
        </w:rPr>
        <w:t xml:space="preserve">, </w:t>
      </w:r>
      <w:r w:rsidRPr="00911993">
        <w:rPr>
          <w:lang w:val="fr-CA"/>
        </w:rPr>
        <w:t>le coût moyen d’approvisionnement en substitut</w:t>
      </w:r>
      <w:r w:rsidR="000B3CBE">
        <w:rPr>
          <w:lang w:val="fr-CA"/>
        </w:rPr>
        <w:t>s</w:t>
      </w:r>
      <w:r w:rsidRPr="00911993">
        <w:rPr>
          <w:lang w:val="fr-CA"/>
        </w:rPr>
        <w:t xml:space="preserve"> laitiers </w:t>
      </w:r>
      <w:r>
        <w:rPr>
          <w:lang w:val="fr-CA"/>
        </w:rPr>
        <w:t>d</w:t>
      </w:r>
      <w:r w:rsidR="00756DC8">
        <w:rPr>
          <w:lang w:val="fr-CA"/>
        </w:rPr>
        <w:t xml:space="preserve">es franchisés </w:t>
      </w:r>
      <w:r w:rsidR="00351A67">
        <w:rPr>
          <w:lang w:val="fr-CA"/>
        </w:rPr>
        <w:t xml:space="preserve">Tim Hortons </w:t>
      </w:r>
      <w:r w:rsidR="00756DC8">
        <w:rPr>
          <w:lang w:val="fr-CA"/>
        </w:rPr>
        <w:t xml:space="preserve">de </w:t>
      </w:r>
      <w:r>
        <w:rPr>
          <w:lang w:val="fr-CA"/>
        </w:rPr>
        <w:t>l’est</w:t>
      </w:r>
      <w:r w:rsidR="00756DC8">
        <w:rPr>
          <w:lang w:val="fr-CA"/>
        </w:rPr>
        <w:t xml:space="preserve"> du Québec </w:t>
      </w:r>
      <w:r>
        <w:rPr>
          <w:lang w:val="fr-CA"/>
        </w:rPr>
        <w:t xml:space="preserve">entre 2022 et 2025 est de </w:t>
      </w:r>
      <w:r w:rsidR="00E15317">
        <w:rPr>
          <w:lang w:val="fr-CA"/>
        </w:rPr>
        <w:t>[...]</w:t>
      </w:r>
      <w:r w:rsidRPr="006C082A" w:rsidR="008E2D8B">
        <w:rPr>
          <w:lang w:val="fr-CA"/>
        </w:rPr>
        <w:t> $</w:t>
      </w:r>
      <w:r w:rsidR="008E2D8B">
        <w:rPr>
          <w:lang w:val="fr-CA"/>
        </w:rPr>
        <w:t xml:space="preserve"> par litre, </w:t>
      </w:r>
      <w:r w:rsidRPr="00911993" w:rsidR="008E2D8B">
        <w:rPr>
          <w:lang w:val="fr-CA"/>
        </w:rPr>
        <w:t xml:space="preserve">alors que </w:t>
      </w:r>
      <w:r w:rsidR="00B2335C">
        <w:rPr>
          <w:lang w:val="fr-CA"/>
        </w:rPr>
        <w:t>leur</w:t>
      </w:r>
      <w:r w:rsidRPr="00911993" w:rsidR="008E2D8B">
        <w:rPr>
          <w:lang w:val="fr-CA"/>
        </w:rPr>
        <w:t xml:space="preserve"> coût moyen d’approvisionnement en lait de vache pour cette période est de</w:t>
      </w:r>
      <w:r w:rsidR="008E2D8B">
        <w:rPr>
          <w:lang w:val="fr-CA"/>
        </w:rPr>
        <w:t xml:space="preserve"> </w:t>
      </w:r>
      <w:r w:rsidR="00E15317">
        <w:rPr>
          <w:lang w:val="fr-CA"/>
        </w:rPr>
        <w:t>[...]</w:t>
      </w:r>
      <w:r w:rsidRPr="006C082A" w:rsidR="008E2D8B">
        <w:rPr>
          <w:lang w:val="fr-CA"/>
        </w:rPr>
        <w:t> $</w:t>
      </w:r>
      <w:r w:rsidR="008E2D8B">
        <w:rPr>
          <w:lang w:val="fr-CA"/>
        </w:rPr>
        <w:t xml:space="preserve"> par litre. Les franchisés Tim Hortons de l’est du Québec </w:t>
      </w:r>
      <w:r w:rsidR="00B2335C">
        <w:rPr>
          <w:lang w:val="fr-CA"/>
        </w:rPr>
        <w:t>supportent</w:t>
      </w:r>
      <w:r w:rsidRPr="00911993" w:rsidR="008E2D8B">
        <w:rPr>
          <w:lang w:val="fr-CA"/>
        </w:rPr>
        <w:t xml:space="preserve"> donc un coût additionnel moyen de </w:t>
      </w:r>
      <w:r w:rsidR="00E15317">
        <w:rPr>
          <w:lang w:val="fr-CA"/>
        </w:rPr>
        <w:t>[...]</w:t>
      </w:r>
      <w:r w:rsidRPr="006C082A" w:rsidR="008E2D8B">
        <w:rPr>
          <w:lang w:val="fr-CA"/>
        </w:rPr>
        <w:t> $</w:t>
      </w:r>
      <w:r w:rsidRPr="00911993" w:rsidR="008E2D8B">
        <w:rPr>
          <w:lang w:val="fr-CA"/>
        </w:rPr>
        <w:t xml:space="preserve"> par </w:t>
      </w:r>
      <w:r w:rsidR="008E2D8B">
        <w:rPr>
          <w:lang w:val="fr-CA"/>
        </w:rPr>
        <w:t xml:space="preserve">litre lorsqu’ils </w:t>
      </w:r>
      <w:r w:rsidR="00B2335C">
        <w:rPr>
          <w:lang w:val="fr-CA"/>
        </w:rPr>
        <w:t>préparent leurs boissons avec</w:t>
      </w:r>
      <w:r w:rsidR="008E2D8B">
        <w:rPr>
          <w:lang w:val="fr-CA"/>
        </w:rPr>
        <w:t xml:space="preserve"> </w:t>
      </w:r>
      <w:r w:rsidR="00052D7E">
        <w:rPr>
          <w:lang w:val="fr-CA"/>
        </w:rPr>
        <w:t>du lait végétal</w:t>
      </w:r>
      <w:r>
        <w:rPr>
          <w:rStyle w:val="FootnoteReference"/>
          <w:lang w:val="fr-CA"/>
        </w:rPr>
        <w:footnoteReference w:id="49"/>
      </w:r>
      <w:r w:rsidRPr="00911993" w:rsidR="008E2D8B">
        <w:rPr>
          <w:lang w:val="fr-CA"/>
        </w:rPr>
        <w:t>.</w:t>
      </w:r>
    </w:p>
    <w:p w:rsidR="0059482C" w:rsidP="00FB7E68" w14:paraId="4622F283" w14:textId="30F8B14D">
      <w:pPr>
        <w:pStyle w:val="Paragrdouble"/>
        <w:spacing w:line="240" w:lineRule="auto"/>
        <w:rPr>
          <w:lang w:val="fr-CA"/>
        </w:rPr>
      </w:pPr>
      <w:r w:rsidRPr="00911993">
        <w:rPr>
          <w:lang w:val="fr-CA"/>
        </w:rPr>
        <w:t xml:space="preserve">Puisqu’un breuvage contient 280 ml de lait selon la </w:t>
      </w:r>
      <w:r w:rsidR="0033722E">
        <w:rPr>
          <w:lang w:val="fr-CA"/>
        </w:rPr>
        <w:t>Demande d’autorisation</w:t>
      </w:r>
      <w:r w:rsidRPr="00911993">
        <w:rPr>
          <w:lang w:val="fr-CA"/>
        </w:rPr>
        <w:t xml:space="preserve">, </w:t>
      </w:r>
      <w:r>
        <w:rPr>
          <w:lang w:val="fr-CA"/>
        </w:rPr>
        <w:t xml:space="preserve">les franchisés Tim Hortons de l’est du Québec </w:t>
      </w:r>
      <w:r w:rsidR="00052D7E">
        <w:rPr>
          <w:lang w:val="fr-CA"/>
        </w:rPr>
        <w:t>supportent</w:t>
      </w:r>
      <w:r w:rsidRPr="00911993">
        <w:rPr>
          <w:lang w:val="fr-CA"/>
        </w:rPr>
        <w:t xml:space="preserve"> un coût additionnel moyen de </w:t>
      </w:r>
      <w:r>
        <w:rPr>
          <w:lang w:val="fr-CA"/>
        </w:rPr>
        <w:t>0,28 </w:t>
      </w:r>
      <w:r w:rsidRPr="00911993">
        <w:rPr>
          <w:lang w:val="fr-CA"/>
        </w:rPr>
        <w:t>$ lorsqu’</w:t>
      </w:r>
      <w:r>
        <w:rPr>
          <w:lang w:val="fr-CA"/>
        </w:rPr>
        <w:t>ils</w:t>
      </w:r>
      <w:r w:rsidRPr="00911993">
        <w:rPr>
          <w:lang w:val="fr-CA"/>
        </w:rPr>
        <w:t xml:space="preserve"> remplace</w:t>
      </w:r>
      <w:r>
        <w:rPr>
          <w:lang w:val="fr-CA"/>
        </w:rPr>
        <w:t>nt</w:t>
      </w:r>
      <w:r w:rsidRPr="00911993">
        <w:rPr>
          <w:lang w:val="fr-CA"/>
        </w:rPr>
        <w:t xml:space="preserve"> le lait de vache par un substitut laitier dans </w:t>
      </w:r>
      <w:r w:rsidR="00B2335C">
        <w:rPr>
          <w:lang w:val="fr-CA"/>
        </w:rPr>
        <w:t>leurs</w:t>
      </w:r>
      <w:r w:rsidRPr="00911993">
        <w:rPr>
          <w:lang w:val="fr-CA"/>
        </w:rPr>
        <w:t xml:space="preserve"> breuvage</w:t>
      </w:r>
      <w:r w:rsidR="00B2335C">
        <w:rPr>
          <w:lang w:val="fr-CA"/>
        </w:rPr>
        <w:t>s</w:t>
      </w:r>
      <w:r>
        <w:rPr>
          <w:rStyle w:val="FootnoteReference"/>
          <w:lang w:val="fr-CA"/>
        </w:rPr>
        <w:footnoteReference w:id="50"/>
      </w:r>
      <w:r w:rsidRPr="00911993">
        <w:rPr>
          <w:lang w:val="fr-CA"/>
        </w:rPr>
        <w:t>, alors q</w:t>
      </w:r>
      <w:r>
        <w:rPr>
          <w:lang w:val="fr-CA"/>
        </w:rPr>
        <w:t xml:space="preserve">u’ils </w:t>
      </w:r>
      <w:r w:rsidRPr="00911993">
        <w:rPr>
          <w:lang w:val="fr-CA"/>
        </w:rPr>
        <w:t>facture</w:t>
      </w:r>
      <w:r>
        <w:rPr>
          <w:lang w:val="fr-CA"/>
        </w:rPr>
        <w:t xml:space="preserve">nt 0,50 $ aux consommateurs. </w:t>
      </w:r>
      <w:r w:rsidR="000B65AF">
        <w:rPr>
          <w:lang w:val="fr-CA"/>
        </w:rPr>
        <w:t xml:space="preserve">Le prix </w:t>
      </w:r>
      <w:r w:rsidR="00740117">
        <w:rPr>
          <w:lang w:val="fr-CA"/>
        </w:rPr>
        <w:t xml:space="preserve">exigé du consommateur correspond donc à </w:t>
      </w:r>
      <w:r w:rsidR="00B062A7">
        <w:rPr>
          <w:lang w:val="fr-CA"/>
        </w:rPr>
        <w:t>moins</w:t>
      </w:r>
      <w:r w:rsidR="00740117">
        <w:rPr>
          <w:lang w:val="fr-CA"/>
        </w:rPr>
        <w:t xml:space="preserve"> du double du</w:t>
      </w:r>
      <w:r w:rsidR="000B65AF">
        <w:rPr>
          <w:lang w:val="fr-CA"/>
        </w:rPr>
        <w:t xml:space="preserve"> prix coûtant. </w:t>
      </w:r>
    </w:p>
    <w:p w:rsidR="008E2D8B" w:rsidP="00FB7E68" w14:paraId="0A57EC16" w14:textId="56DBDA11">
      <w:pPr>
        <w:pStyle w:val="Paragrdouble"/>
        <w:spacing w:line="240" w:lineRule="auto"/>
        <w:rPr>
          <w:lang w:val="fr-CA"/>
        </w:rPr>
      </w:pPr>
      <w:r>
        <w:rPr>
          <w:lang w:val="fr-CA"/>
        </w:rPr>
        <w:t xml:space="preserve">Il y a donc une disproportion entre le </w:t>
      </w:r>
      <w:r w:rsidR="007F2C78">
        <w:rPr>
          <w:lang w:val="fr-CA"/>
        </w:rPr>
        <w:t xml:space="preserve">prix facturé pour </w:t>
      </w:r>
      <w:r>
        <w:rPr>
          <w:lang w:val="fr-CA"/>
        </w:rPr>
        <w:t xml:space="preserve">la substitution </w:t>
      </w:r>
      <w:r w:rsidR="007F2C78">
        <w:rPr>
          <w:lang w:val="fr-CA"/>
        </w:rPr>
        <w:t xml:space="preserve">et le coût </w:t>
      </w:r>
      <w:r w:rsidR="00052D7E">
        <w:rPr>
          <w:lang w:val="fr-CA"/>
        </w:rPr>
        <w:t xml:space="preserve">assumé par </w:t>
      </w:r>
      <w:r w:rsidR="007F2C78">
        <w:rPr>
          <w:lang w:val="fr-CA"/>
        </w:rPr>
        <w:t xml:space="preserve">le </w:t>
      </w:r>
      <w:r>
        <w:rPr>
          <w:lang w:val="fr-CA"/>
        </w:rPr>
        <w:t xml:space="preserve">commerçant. </w:t>
      </w:r>
      <w:r w:rsidRPr="0059482C" w:rsidR="000B65AF">
        <w:rPr>
          <w:lang w:val="fr-CA"/>
        </w:rPr>
        <w:t>Comme indiqué ci-dessus,</w:t>
      </w:r>
      <w:r>
        <w:rPr>
          <w:lang w:val="fr-CA"/>
        </w:rPr>
        <w:t xml:space="preserve"> </w:t>
      </w:r>
      <w:r w:rsidR="007F2C78">
        <w:rPr>
          <w:lang w:val="fr-CA"/>
        </w:rPr>
        <w:t xml:space="preserve">cette disproportion ne </w:t>
      </w:r>
      <w:r w:rsidR="00982A23">
        <w:rPr>
          <w:lang w:val="fr-CA"/>
        </w:rPr>
        <w:t>semble</w:t>
      </w:r>
      <w:r w:rsidR="007F2C78">
        <w:rPr>
          <w:lang w:val="fr-CA"/>
        </w:rPr>
        <w:t xml:space="preserve"> pas exorbitante à première vue. Toutefois,</w:t>
      </w:r>
      <w:r w:rsidR="00982A23">
        <w:rPr>
          <w:lang w:val="fr-CA"/>
        </w:rPr>
        <w:t xml:space="preserve"> pour les mêmes motifs qu’énoncés précédemment en ce qui concerne la défenderesse Second Cup, le Tribunal conclut qu’il</w:t>
      </w:r>
      <w:r w:rsidR="007F2C78">
        <w:rPr>
          <w:lang w:val="fr-CA"/>
        </w:rPr>
        <w:t xml:space="preserve"> n’est pas impossible </w:t>
      </w:r>
      <w:r w:rsidR="00982A23">
        <w:rPr>
          <w:lang w:val="fr-CA"/>
        </w:rPr>
        <w:t>que la disproportion</w:t>
      </w:r>
      <w:r w:rsidR="007F2C78">
        <w:rPr>
          <w:lang w:val="fr-CA"/>
        </w:rPr>
        <w:t xml:space="preserve"> soit qualifiée de lésionnaire par un juge au mérite, à la lumière de l’analyse de l’ensemble des facteurs pertinents.</w:t>
      </w:r>
    </w:p>
    <w:p w:rsidR="000B65AF" w:rsidRPr="00C46DAC" w:rsidP="007636A5" w14:paraId="3ABCB72F" w14:textId="2843E7AD">
      <w:pPr>
        <w:pStyle w:val="Heading4"/>
        <w:rPr>
          <w:lang w:val="fr-CA"/>
        </w:rPr>
      </w:pPr>
      <w:r>
        <w:rPr>
          <w:lang w:val="fr-CA"/>
        </w:rPr>
        <w:t>A</w:t>
      </w:r>
      <w:r>
        <w:rPr>
          <w:lang w:val="fr-CA"/>
        </w:rPr>
        <w:t xml:space="preserve">bsence de lien contractuel </w:t>
      </w:r>
    </w:p>
    <w:p w:rsidR="000B65AF" w:rsidP="000B65AF" w14:paraId="3E67EE07" w14:textId="6F4D5975">
      <w:pPr>
        <w:pStyle w:val="Paragrdouble"/>
        <w:spacing w:line="240" w:lineRule="auto"/>
        <w:rPr>
          <w:lang w:val="fr-CA"/>
        </w:rPr>
      </w:pPr>
      <w:r>
        <w:rPr>
          <w:lang w:val="fr-CA"/>
        </w:rPr>
        <w:t xml:space="preserve">Le recours prévu à l’article 8 L.p.c. est de nature contractuelle. Il suppose l’existence d’un contrat lésionnaire passé entre </w:t>
      </w:r>
      <w:r w:rsidR="0059390B">
        <w:rPr>
          <w:lang w:val="fr-CA"/>
        </w:rPr>
        <w:t>le</w:t>
      </w:r>
      <w:r>
        <w:rPr>
          <w:lang w:val="fr-CA"/>
        </w:rPr>
        <w:t xml:space="preserve"> consommateur et le commerçant.</w:t>
      </w:r>
      <w:r w:rsidR="00066328">
        <w:rPr>
          <w:lang w:val="fr-CA"/>
        </w:rPr>
        <w:t xml:space="preserve"> Ceci paraît évident lorsque l’on considère les remèdes </w:t>
      </w:r>
      <w:r w:rsidR="0059390B">
        <w:rPr>
          <w:lang w:val="fr-CA"/>
        </w:rPr>
        <w:t xml:space="preserve">offerts </w:t>
      </w:r>
      <w:r w:rsidR="00066328">
        <w:rPr>
          <w:lang w:val="fr-CA"/>
        </w:rPr>
        <w:t xml:space="preserve">à l’article 8 L.p.c., soit l’annulation du contrat ou la réduction des obligations, </w:t>
      </w:r>
      <w:r w:rsidR="0059390B">
        <w:rPr>
          <w:lang w:val="fr-CA"/>
        </w:rPr>
        <w:t xml:space="preserve">qui </w:t>
      </w:r>
      <w:r w:rsidR="00066328">
        <w:rPr>
          <w:lang w:val="fr-CA"/>
        </w:rPr>
        <w:t xml:space="preserve">sont des sanctions de nature </w:t>
      </w:r>
      <w:r w:rsidR="0059390B">
        <w:rPr>
          <w:lang w:val="fr-CA"/>
        </w:rPr>
        <w:t xml:space="preserve">strictement </w:t>
      </w:r>
      <w:r w:rsidR="00066328">
        <w:rPr>
          <w:lang w:val="fr-CA"/>
        </w:rPr>
        <w:t>contractuelle.</w:t>
      </w:r>
      <w:r w:rsidR="0051347C">
        <w:rPr>
          <w:lang w:val="fr-CA"/>
        </w:rPr>
        <w:t xml:space="preserve"> Au surplus, la disposition se retrouve sous </w:t>
      </w:r>
      <w:r w:rsidRPr="00FD3121" w:rsidR="0051347C">
        <w:rPr>
          <w:lang w:val="fr-CA"/>
        </w:rPr>
        <w:t xml:space="preserve">le Titre </w:t>
      </w:r>
      <w:r w:rsidR="00FD3121">
        <w:rPr>
          <w:lang w:val="fr-CA"/>
        </w:rPr>
        <w:t>I</w:t>
      </w:r>
      <w:r w:rsidR="0051347C">
        <w:rPr>
          <w:lang w:val="fr-CA"/>
        </w:rPr>
        <w:t xml:space="preserve"> de la loi, qui concerne les « contrats relatifs aux biens et aux services »</w:t>
      </w:r>
      <w:r w:rsidR="001D6F5B">
        <w:rPr>
          <w:lang w:val="fr-CA"/>
        </w:rPr>
        <w:t xml:space="preserve">, ce qui confirme </w:t>
      </w:r>
      <w:r w:rsidR="002B296B">
        <w:rPr>
          <w:lang w:val="fr-CA"/>
        </w:rPr>
        <w:t>sa</w:t>
      </w:r>
      <w:r w:rsidR="001D6F5B">
        <w:rPr>
          <w:lang w:val="fr-CA"/>
        </w:rPr>
        <w:t xml:space="preserve"> nature contractuelle</w:t>
      </w:r>
      <w:r w:rsidR="002B296B">
        <w:rPr>
          <w:lang w:val="fr-CA"/>
        </w:rPr>
        <w:t>.</w:t>
      </w:r>
    </w:p>
    <w:p w:rsidR="00052D7E" w:rsidP="00FC15D0" w14:paraId="6C73D49E" w14:textId="095083C0">
      <w:pPr>
        <w:pStyle w:val="Paragrdouble"/>
        <w:spacing w:line="240" w:lineRule="auto"/>
        <w:rPr>
          <w:lang w:val="fr-CA"/>
        </w:rPr>
      </w:pPr>
      <w:r>
        <w:rPr>
          <w:lang w:val="fr-CA"/>
        </w:rPr>
        <w:t>Or, e</w:t>
      </w:r>
      <w:r w:rsidRPr="00740117" w:rsidR="000B65AF">
        <w:rPr>
          <w:lang w:val="fr-CA"/>
        </w:rPr>
        <w:t xml:space="preserve">n l’espèce, </w:t>
      </w:r>
      <w:r>
        <w:rPr>
          <w:lang w:val="fr-CA"/>
        </w:rPr>
        <w:t>même si elle invoque explicitement la lésion dans sa procédure, la demanderesse ne poursuit pas les commerçants qui lui ont facturé un prix prétendument lésionnaire</w:t>
      </w:r>
      <w:r>
        <w:rPr>
          <w:rStyle w:val="FootnoteReference"/>
          <w:lang w:val="fr-CA"/>
        </w:rPr>
        <w:footnoteReference w:id="51"/>
      </w:r>
      <w:r w:rsidR="006A5941">
        <w:rPr>
          <w:lang w:val="fr-CA"/>
        </w:rPr>
        <w:t>. E</w:t>
      </w:r>
      <w:r>
        <w:rPr>
          <w:lang w:val="fr-CA"/>
        </w:rPr>
        <w:t xml:space="preserve">lle poursuit </w:t>
      </w:r>
      <w:r w:rsidR="006A5941">
        <w:rPr>
          <w:lang w:val="fr-CA"/>
        </w:rPr>
        <w:t xml:space="preserve">plutôt </w:t>
      </w:r>
      <w:r>
        <w:rPr>
          <w:lang w:val="fr-CA"/>
        </w:rPr>
        <w:t>les sociétés qui exploitent le réseau de franchises Starbucks, Second Cup et Tim Hortons</w:t>
      </w:r>
      <w:r w:rsidR="0051347C">
        <w:rPr>
          <w:lang w:val="fr-CA"/>
        </w:rPr>
        <w:t>, avec qui elle n’a pas contra</w:t>
      </w:r>
      <w:r w:rsidR="00E01237">
        <w:rPr>
          <w:lang w:val="fr-CA"/>
        </w:rPr>
        <w:t>c</w:t>
      </w:r>
      <w:r w:rsidR="0051347C">
        <w:rPr>
          <w:lang w:val="fr-CA"/>
        </w:rPr>
        <w:t>té</w:t>
      </w:r>
      <w:r>
        <w:rPr>
          <w:lang w:val="fr-CA"/>
        </w:rPr>
        <w:t>. Il convient donc de déterminer si son recours présente une apparence de droit, en l’absence de lien contractuel avec les défenderesses.</w:t>
      </w:r>
    </w:p>
    <w:p w:rsidR="000B65AF" w:rsidP="007037E8" w14:paraId="0000CCF2" w14:textId="32F7D5B9">
      <w:pPr>
        <w:pStyle w:val="Paragrdouble"/>
        <w:spacing w:line="240" w:lineRule="auto"/>
        <w:rPr>
          <w:lang w:val="fr-CA"/>
        </w:rPr>
      </w:pPr>
      <w:r>
        <w:rPr>
          <w:lang w:val="fr-CA"/>
        </w:rPr>
        <w:t xml:space="preserve">La </w:t>
      </w:r>
      <w:r w:rsidR="0033722E">
        <w:rPr>
          <w:lang w:val="fr-CA"/>
        </w:rPr>
        <w:t>Demande d’autorisation</w:t>
      </w:r>
      <w:r w:rsidRPr="000C4189">
        <w:rPr>
          <w:lang w:val="fr-CA"/>
        </w:rPr>
        <w:t xml:space="preserve"> n’identifie pas le </w:t>
      </w:r>
      <w:r w:rsidRPr="000C4189" w:rsidR="00BA7A1B">
        <w:rPr>
          <w:lang w:val="fr-CA"/>
        </w:rPr>
        <w:t>fondement</w:t>
      </w:r>
      <w:r w:rsidRPr="000C4189">
        <w:rPr>
          <w:lang w:val="fr-CA"/>
        </w:rPr>
        <w:t xml:space="preserve"> en vertu duquel </w:t>
      </w:r>
      <w:r w:rsidRPr="000C4189" w:rsidR="00BA7A1B">
        <w:rPr>
          <w:lang w:val="fr-CA"/>
        </w:rPr>
        <w:t xml:space="preserve">la demanderesse </w:t>
      </w:r>
      <w:r w:rsidR="006E113B">
        <w:rPr>
          <w:lang w:val="fr-CA"/>
        </w:rPr>
        <w:t>pourrait</w:t>
      </w:r>
      <w:r w:rsidRPr="000C4189" w:rsidR="0059390B">
        <w:rPr>
          <w:lang w:val="fr-CA"/>
        </w:rPr>
        <w:t xml:space="preserve"> poursuivre</w:t>
      </w:r>
      <w:r w:rsidRPr="000C4189" w:rsidR="00BA7A1B">
        <w:rPr>
          <w:lang w:val="fr-CA"/>
        </w:rPr>
        <w:t xml:space="preserve"> </w:t>
      </w:r>
      <w:r w:rsidRPr="000C4189" w:rsidR="001A71D9">
        <w:rPr>
          <w:lang w:val="fr-CA"/>
        </w:rPr>
        <w:t>des</w:t>
      </w:r>
      <w:r w:rsidRPr="000C4189" w:rsidR="00BA7A1B">
        <w:rPr>
          <w:lang w:val="fr-CA"/>
        </w:rPr>
        <w:t xml:space="preserve"> franchiseur</w:t>
      </w:r>
      <w:r w:rsidRPr="000C4189" w:rsidR="001A71D9">
        <w:rPr>
          <w:lang w:val="fr-CA"/>
        </w:rPr>
        <w:t>s</w:t>
      </w:r>
      <w:r w:rsidRPr="000C4189" w:rsidR="00BA7A1B">
        <w:rPr>
          <w:lang w:val="fr-CA"/>
        </w:rPr>
        <w:t xml:space="preserve"> pour les dommages qu’elle </w:t>
      </w:r>
      <w:r w:rsidRPr="000C4189" w:rsidR="000F3A54">
        <w:rPr>
          <w:lang w:val="fr-CA"/>
        </w:rPr>
        <w:t>allègue avoir</w:t>
      </w:r>
      <w:r w:rsidRPr="000C4189" w:rsidR="00BA7A1B">
        <w:rPr>
          <w:lang w:val="fr-CA"/>
        </w:rPr>
        <w:t xml:space="preserve"> subis en raison du caractère lésionnaire des contrats </w:t>
      </w:r>
      <w:r w:rsidR="006E113B">
        <w:rPr>
          <w:lang w:val="fr-CA"/>
        </w:rPr>
        <w:t xml:space="preserve">qu’elle a </w:t>
      </w:r>
      <w:r w:rsidRPr="000C4189" w:rsidR="00BA7A1B">
        <w:rPr>
          <w:lang w:val="fr-CA"/>
        </w:rPr>
        <w:t xml:space="preserve">passés avec </w:t>
      </w:r>
      <w:r w:rsidRPr="000C4189" w:rsidR="001A71D9">
        <w:rPr>
          <w:lang w:val="fr-CA"/>
        </w:rPr>
        <w:t xml:space="preserve">leurs </w:t>
      </w:r>
      <w:r w:rsidRPr="000C4189" w:rsidR="00BA7A1B">
        <w:rPr>
          <w:lang w:val="fr-CA"/>
        </w:rPr>
        <w:t>franchisé</w:t>
      </w:r>
      <w:r w:rsidRPr="000C4189" w:rsidR="001A71D9">
        <w:rPr>
          <w:lang w:val="fr-CA"/>
        </w:rPr>
        <w:t>s</w:t>
      </w:r>
      <w:r w:rsidRPr="000C4189" w:rsidR="00BA7A1B">
        <w:rPr>
          <w:lang w:val="fr-CA"/>
        </w:rPr>
        <w:t>.</w:t>
      </w:r>
      <w:r w:rsidRPr="000C4189" w:rsidR="00740117">
        <w:rPr>
          <w:lang w:val="fr-CA"/>
        </w:rPr>
        <w:t xml:space="preserve"> À l’audience, </w:t>
      </w:r>
      <w:r w:rsidR="006E113B">
        <w:rPr>
          <w:lang w:val="fr-CA"/>
        </w:rPr>
        <w:t xml:space="preserve">la demanderesse argue que son recours se fonde sur </w:t>
      </w:r>
      <w:r w:rsidRPr="000C4189" w:rsidR="000F3A54">
        <w:rPr>
          <w:lang w:val="fr-CA"/>
        </w:rPr>
        <w:t xml:space="preserve">l’article 1457 C.c.Q. </w:t>
      </w:r>
      <w:r w:rsidR="006E113B">
        <w:rPr>
          <w:lang w:val="fr-CA"/>
        </w:rPr>
        <w:t>Elle</w:t>
      </w:r>
      <w:r w:rsidRPr="000C4189" w:rsidR="000F3A54">
        <w:rPr>
          <w:lang w:val="fr-CA"/>
        </w:rPr>
        <w:t xml:space="preserve"> </w:t>
      </w:r>
      <w:r w:rsidRPr="000C4189" w:rsidR="00740117">
        <w:rPr>
          <w:lang w:val="fr-CA"/>
        </w:rPr>
        <w:t>soutient que les défenderesses commettent une faute civile en établissant des prix lésionnaires et qu’elle</w:t>
      </w:r>
      <w:r w:rsidR="00BB5792">
        <w:rPr>
          <w:lang w:val="fr-CA"/>
        </w:rPr>
        <w:t>s</w:t>
      </w:r>
      <w:r w:rsidRPr="000C4189" w:rsidR="00740117">
        <w:rPr>
          <w:lang w:val="fr-CA"/>
        </w:rPr>
        <w:t xml:space="preserve"> engagent leur responsabilité civile </w:t>
      </w:r>
      <w:r w:rsidRPr="000C4189" w:rsidR="000F3A54">
        <w:rPr>
          <w:lang w:val="fr-CA"/>
        </w:rPr>
        <w:t xml:space="preserve">extracontractuelle </w:t>
      </w:r>
      <w:r w:rsidRPr="000C4189" w:rsidR="00740117">
        <w:rPr>
          <w:lang w:val="fr-CA"/>
        </w:rPr>
        <w:t>envers les membres putatifs du groupe</w:t>
      </w:r>
      <w:r w:rsidR="00BB5792">
        <w:rPr>
          <w:lang w:val="fr-CA"/>
        </w:rPr>
        <w:t xml:space="preserve"> pour les dommages qu’elles leur causent</w:t>
      </w:r>
      <w:r w:rsidRPr="000C4189" w:rsidR="00740117">
        <w:rPr>
          <w:lang w:val="fr-CA"/>
        </w:rPr>
        <w:t>.</w:t>
      </w:r>
    </w:p>
    <w:p w:rsidR="000C4189" w:rsidP="000C4189" w14:paraId="38313AEB" w14:textId="1DC8B888">
      <w:pPr>
        <w:pStyle w:val="Paragrdouble"/>
        <w:spacing w:line="240" w:lineRule="auto"/>
        <w:rPr>
          <w:lang w:val="fr-CA"/>
        </w:rPr>
      </w:pPr>
      <w:r>
        <w:rPr>
          <w:lang w:val="fr-CA"/>
        </w:rPr>
        <w:t xml:space="preserve">À ce sujet, la </w:t>
      </w:r>
      <w:r w:rsidR="0033722E">
        <w:rPr>
          <w:lang w:val="fr-CA"/>
        </w:rPr>
        <w:t>Demande d’autorisation</w:t>
      </w:r>
      <w:r w:rsidRPr="0059390B">
        <w:rPr>
          <w:lang w:val="fr-CA"/>
        </w:rPr>
        <w:t xml:space="preserve"> allègue que </w:t>
      </w:r>
      <w:r>
        <w:rPr>
          <w:lang w:val="fr-CA"/>
        </w:rPr>
        <w:t xml:space="preserve">ce sont </w:t>
      </w:r>
      <w:r w:rsidRPr="0059390B">
        <w:rPr>
          <w:lang w:val="fr-CA"/>
        </w:rPr>
        <w:t>les défenderesses Starbucks</w:t>
      </w:r>
      <w:r>
        <w:rPr>
          <w:lang w:val="fr-CA"/>
        </w:rPr>
        <w:t xml:space="preserve"> Coffee Canada</w:t>
      </w:r>
      <w:r w:rsidRPr="0059390B">
        <w:rPr>
          <w:lang w:val="fr-CA"/>
        </w:rPr>
        <w:t>, Foodtastic et TDL Group</w:t>
      </w:r>
      <w:r>
        <w:rPr>
          <w:lang w:val="fr-CA"/>
        </w:rPr>
        <w:t xml:space="preserve"> qui </w:t>
      </w:r>
      <w:r w:rsidRPr="0059390B">
        <w:rPr>
          <w:lang w:val="fr-CA"/>
        </w:rPr>
        <w:t xml:space="preserve">fixent le prix auquel les </w:t>
      </w:r>
      <w:r>
        <w:rPr>
          <w:lang w:val="fr-CA"/>
        </w:rPr>
        <w:t>restaurants Starbucks, Second Cup et Tim Hortons</w:t>
      </w:r>
      <w:r w:rsidRPr="0059390B">
        <w:rPr>
          <w:lang w:val="fr-CA"/>
        </w:rPr>
        <w:t xml:space="preserve"> vendent leurs produits, incluant </w:t>
      </w:r>
      <w:r>
        <w:rPr>
          <w:lang w:val="fr-CA"/>
        </w:rPr>
        <w:t>le prix du</w:t>
      </w:r>
      <w:r w:rsidRPr="0059390B">
        <w:rPr>
          <w:lang w:val="fr-CA"/>
        </w:rPr>
        <w:t xml:space="preserve"> supplément facturé pour les substituts laitiers</w:t>
      </w:r>
      <w:r>
        <w:rPr>
          <w:rStyle w:val="FootnoteReference"/>
          <w:lang w:val="fr-CA"/>
        </w:rPr>
        <w:footnoteReference w:id="52"/>
      </w:r>
      <w:r w:rsidRPr="0059390B">
        <w:rPr>
          <w:lang w:val="fr-CA"/>
        </w:rPr>
        <w:t>. Ces allégations factuelles sont précises</w:t>
      </w:r>
      <w:r>
        <w:rPr>
          <w:lang w:val="fr-CA"/>
        </w:rPr>
        <w:t>, elles ne sont pas contredites par une preuve documentaire fiable</w:t>
      </w:r>
      <w:r w:rsidRPr="0059390B">
        <w:rPr>
          <w:lang w:val="fr-CA"/>
        </w:rPr>
        <w:t xml:space="preserve"> </w:t>
      </w:r>
      <w:r>
        <w:rPr>
          <w:lang w:val="fr-CA"/>
        </w:rPr>
        <w:t xml:space="preserve">et elles doivent donc être </w:t>
      </w:r>
      <w:r w:rsidRPr="0059390B">
        <w:rPr>
          <w:lang w:val="fr-CA"/>
        </w:rPr>
        <w:t>tenues pour avérées</w:t>
      </w:r>
      <w:r>
        <w:rPr>
          <w:rStyle w:val="FootnoteReference"/>
          <w:lang w:val="fr-CA"/>
        </w:rPr>
        <w:footnoteReference w:id="53"/>
      </w:r>
      <w:r w:rsidRPr="0059390B">
        <w:rPr>
          <w:lang w:val="fr-CA"/>
        </w:rPr>
        <w:t xml:space="preserve">. </w:t>
      </w:r>
    </w:p>
    <w:p w:rsidR="000451A8" w:rsidP="00FB7E68" w14:paraId="55D6078C" w14:textId="77777777">
      <w:pPr>
        <w:pStyle w:val="Paragrdouble"/>
        <w:spacing w:line="240" w:lineRule="auto"/>
        <w:rPr>
          <w:lang w:val="fr-CA"/>
        </w:rPr>
      </w:pPr>
      <w:r>
        <w:rPr>
          <w:lang w:val="fr-CA"/>
        </w:rPr>
        <w:t xml:space="preserve">L’argument </w:t>
      </w:r>
      <w:r w:rsidR="000C4189">
        <w:rPr>
          <w:lang w:val="fr-CA"/>
        </w:rPr>
        <w:t xml:space="preserve">fondé sur la responsabilité civile extracontractuelle </w:t>
      </w:r>
      <w:r>
        <w:rPr>
          <w:lang w:val="fr-CA"/>
        </w:rPr>
        <w:t xml:space="preserve">est sérieux. Il </w:t>
      </w:r>
      <w:r w:rsidRPr="00B062A7">
        <w:rPr>
          <w:lang w:val="fr-CA"/>
        </w:rPr>
        <w:t xml:space="preserve">n’est pas frivole de soutenir qu’un franchiseur qui oblige </w:t>
      </w:r>
      <w:r w:rsidR="000E419B">
        <w:rPr>
          <w:lang w:val="fr-CA"/>
        </w:rPr>
        <w:t xml:space="preserve">ou incite </w:t>
      </w:r>
      <w:r w:rsidRPr="00B062A7">
        <w:rPr>
          <w:lang w:val="fr-CA"/>
        </w:rPr>
        <w:t xml:space="preserve">ses franchisés à vendre leurs </w:t>
      </w:r>
      <w:r w:rsidRPr="00B062A7">
        <w:rPr>
          <w:lang w:val="fr-CA"/>
        </w:rPr>
        <w:t xml:space="preserve">produits </w:t>
      </w:r>
      <w:r w:rsidR="0059390B">
        <w:rPr>
          <w:lang w:val="fr-CA"/>
        </w:rPr>
        <w:t>aux</w:t>
      </w:r>
      <w:r w:rsidRPr="00B062A7">
        <w:rPr>
          <w:lang w:val="fr-CA"/>
        </w:rPr>
        <w:t xml:space="preserve"> prix </w:t>
      </w:r>
      <w:r w:rsidR="001A71D9">
        <w:rPr>
          <w:lang w:val="fr-CA"/>
        </w:rPr>
        <w:t xml:space="preserve">qu’il </w:t>
      </w:r>
      <w:r w:rsidR="0059390B">
        <w:rPr>
          <w:lang w:val="fr-CA"/>
        </w:rPr>
        <w:t>détermine</w:t>
      </w:r>
      <w:r w:rsidR="001A71D9">
        <w:rPr>
          <w:lang w:val="fr-CA"/>
        </w:rPr>
        <w:t xml:space="preserve"> </w:t>
      </w:r>
      <w:r w:rsidRPr="00B062A7">
        <w:rPr>
          <w:lang w:val="fr-CA"/>
        </w:rPr>
        <w:t>commet une faute et qu’il engage sa responsabilité civile extracontractuelle</w:t>
      </w:r>
      <w:r>
        <w:rPr>
          <w:lang w:val="fr-CA"/>
        </w:rPr>
        <w:t xml:space="preserve"> envers les consommateurs</w:t>
      </w:r>
      <w:r w:rsidR="001A71D9">
        <w:rPr>
          <w:lang w:val="fr-CA"/>
        </w:rPr>
        <w:t xml:space="preserve"> s’il s’avère que ces prix sont lésionnaires</w:t>
      </w:r>
      <w:r>
        <w:rPr>
          <w:lang w:val="fr-CA"/>
        </w:rPr>
        <w:t xml:space="preserve">. </w:t>
      </w:r>
    </w:p>
    <w:p w:rsidR="000C4189" w:rsidP="00FB7E68" w14:paraId="0077F30D" w14:textId="7AF42010">
      <w:pPr>
        <w:pStyle w:val="Paragrdouble"/>
        <w:spacing w:line="240" w:lineRule="auto"/>
        <w:rPr>
          <w:lang w:val="fr-CA"/>
        </w:rPr>
      </w:pPr>
      <w:r>
        <w:rPr>
          <w:lang w:val="fr-CA"/>
        </w:rPr>
        <w:t xml:space="preserve">En effet, </w:t>
      </w:r>
      <w:r w:rsidR="00234BA1">
        <w:rPr>
          <w:lang w:val="fr-CA"/>
        </w:rPr>
        <w:t xml:space="preserve">selon la jurisprudence soumise par les parties, </w:t>
      </w:r>
      <w:r>
        <w:rPr>
          <w:lang w:val="fr-CA"/>
        </w:rPr>
        <w:t>il est possible de soutenir que l</w:t>
      </w:r>
      <w:r>
        <w:rPr>
          <w:lang w:val="fr-CA"/>
        </w:rPr>
        <w:t xml:space="preserve">e commerçant qui exige des prix lésionnaires </w:t>
      </w:r>
      <w:r w:rsidR="006A5941">
        <w:rPr>
          <w:lang w:val="fr-CA"/>
        </w:rPr>
        <w:t xml:space="preserve">et qui </w:t>
      </w:r>
      <w:r>
        <w:rPr>
          <w:lang w:val="fr-CA"/>
        </w:rPr>
        <w:t xml:space="preserve">exploite le consommateur au sens de l’article 8 L.p.c. </w:t>
      </w:r>
      <w:r>
        <w:rPr>
          <w:lang w:val="fr-CA"/>
        </w:rPr>
        <w:t>commet</w:t>
      </w:r>
      <w:r>
        <w:rPr>
          <w:lang w:val="fr-CA"/>
        </w:rPr>
        <w:t xml:space="preserve"> une faute contractuelle</w:t>
      </w:r>
      <w:r>
        <w:rPr>
          <w:rStyle w:val="FootnoteReference"/>
          <w:lang w:val="fr-CA"/>
        </w:rPr>
        <w:footnoteReference w:id="54"/>
      </w:r>
      <w:r>
        <w:rPr>
          <w:lang w:val="fr-CA"/>
        </w:rPr>
        <w:t xml:space="preserve">. </w:t>
      </w:r>
      <w:r w:rsidR="00234BA1">
        <w:rPr>
          <w:lang w:val="fr-CA"/>
        </w:rPr>
        <w:t xml:space="preserve">Or, selon une jurisprudence bien établie, un tiers qui incite une partie à violer un contrat ou qui </w:t>
      </w:r>
      <w:r>
        <w:rPr>
          <w:lang w:val="fr-CA"/>
        </w:rPr>
        <w:t xml:space="preserve">s’associe sciemment à </w:t>
      </w:r>
      <w:r w:rsidR="00234BA1">
        <w:rPr>
          <w:lang w:val="fr-CA"/>
        </w:rPr>
        <w:t>sa</w:t>
      </w:r>
      <w:r>
        <w:rPr>
          <w:lang w:val="fr-CA"/>
        </w:rPr>
        <w:t xml:space="preserve"> faute </w:t>
      </w:r>
      <w:r w:rsidR="00234BA1">
        <w:rPr>
          <w:lang w:val="fr-CA"/>
        </w:rPr>
        <w:t xml:space="preserve">contractuelle </w:t>
      </w:r>
      <w:r>
        <w:rPr>
          <w:lang w:val="fr-CA"/>
        </w:rPr>
        <w:t xml:space="preserve">au mépris des intérêts </w:t>
      </w:r>
      <w:r w:rsidR="00234BA1">
        <w:rPr>
          <w:lang w:val="fr-CA"/>
        </w:rPr>
        <w:t>du cocontractant</w:t>
      </w:r>
      <w:r>
        <w:rPr>
          <w:lang w:val="fr-CA"/>
        </w:rPr>
        <w:t xml:space="preserve"> commet une faute extracontractuelle et engage sa responsabilité civile en vertu de l’article 1457 C.c.Q.</w:t>
      </w:r>
      <w:r>
        <w:rPr>
          <w:rStyle w:val="FootnoteReference"/>
          <w:lang w:val="fr-CA"/>
        </w:rPr>
        <w:footnoteReference w:id="55"/>
      </w:r>
      <w:r w:rsidR="00234BA1">
        <w:rPr>
          <w:lang w:val="fr-CA"/>
        </w:rPr>
        <w:t xml:space="preserve"> </w:t>
      </w:r>
    </w:p>
    <w:p w:rsidR="00356897" w:rsidP="005A0250" w14:paraId="2322B11D" w14:textId="77777777">
      <w:pPr>
        <w:pStyle w:val="Paragrdouble"/>
        <w:spacing w:line="240" w:lineRule="auto"/>
        <w:rPr>
          <w:lang w:val="fr-CA"/>
        </w:rPr>
      </w:pPr>
      <w:r w:rsidRPr="00E7365A">
        <w:rPr>
          <w:lang w:val="fr-CA"/>
        </w:rPr>
        <w:t xml:space="preserve">Il </w:t>
      </w:r>
      <w:r w:rsidRPr="00E7365A" w:rsidR="000C4189">
        <w:rPr>
          <w:lang w:val="fr-CA"/>
        </w:rPr>
        <w:t>n’</w:t>
      </w:r>
      <w:r w:rsidRPr="00E7365A">
        <w:rPr>
          <w:lang w:val="fr-CA"/>
        </w:rPr>
        <w:t xml:space="preserve">est </w:t>
      </w:r>
      <w:r w:rsidRPr="00E7365A" w:rsidR="00234BA1">
        <w:rPr>
          <w:lang w:val="fr-CA"/>
        </w:rPr>
        <w:t>également</w:t>
      </w:r>
      <w:r w:rsidRPr="00E7365A" w:rsidR="000C4189">
        <w:rPr>
          <w:lang w:val="fr-CA"/>
        </w:rPr>
        <w:t xml:space="preserve"> pas frivole, manifestement infondé ou insoutenable de prétendre </w:t>
      </w:r>
      <w:r w:rsidRPr="00E7365A">
        <w:rPr>
          <w:lang w:val="fr-CA"/>
        </w:rPr>
        <w:t xml:space="preserve">que </w:t>
      </w:r>
      <w:r w:rsidRPr="00E7365A" w:rsidR="000451A8">
        <w:rPr>
          <w:lang w:val="fr-CA"/>
        </w:rPr>
        <w:t>cette</w:t>
      </w:r>
      <w:r w:rsidRPr="00E7365A">
        <w:rPr>
          <w:lang w:val="fr-CA"/>
        </w:rPr>
        <w:t xml:space="preserve"> faute </w:t>
      </w:r>
      <w:r w:rsidRPr="00E7365A" w:rsidR="000451A8">
        <w:rPr>
          <w:lang w:val="fr-CA"/>
        </w:rPr>
        <w:t xml:space="preserve">extracontractuelle </w:t>
      </w:r>
      <w:r w:rsidRPr="00E7365A">
        <w:rPr>
          <w:lang w:val="fr-CA"/>
        </w:rPr>
        <w:t xml:space="preserve">cause un dommage aux consommateurs, correspondant </w:t>
      </w:r>
      <w:r w:rsidRPr="00E7365A" w:rsidR="000C4189">
        <w:rPr>
          <w:lang w:val="fr-CA"/>
        </w:rPr>
        <w:t xml:space="preserve">à la différence entre le prix lésionnaire payé et le prix non lésionnaire qui </w:t>
      </w:r>
      <w:r w:rsidRPr="00E7365A" w:rsidR="006E113B">
        <w:rPr>
          <w:lang w:val="fr-CA"/>
        </w:rPr>
        <w:t>pouvait être exigé</w:t>
      </w:r>
      <w:r w:rsidRPr="00E7365A" w:rsidR="000E419B">
        <w:rPr>
          <w:lang w:val="fr-CA"/>
        </w:rPr>
        <w:t>.</w:t>
      </w:r>
      <w:r w:rsidR="00E7365A">
        <w:rPr>
          <w:lang w:val="fr-CA"/>
        </w:rPr>
        <w:t xml:space="preserve"> </w:t>
      </w:r>
    </w:p>
    <w:p w:rsidR="007A1C2F" w:rsidRPr="00E7365A" w:rsidP="005A0250" w14:paraId="04A00D9D" w14:textId="2737CF91">
      <w:pPr>
        <w:pStyle w:val="Paragrdouble"/>
        <w:spacing w:line="240" w:lineRule="auto"/>
        <w:rPr>
          <w:lang w:val="fr-CA"/>
        </w:rPr>
      </w:pPr>
      <w:r>
        <w:rPr>
          <w:lang w:val="fr-CA"/>
        </w:rPr>
        <w:t xml:space="preserve">Le </w:t>
      </w:r>
      <w:r w:rsidRPr="00E7365A" w:rsidR="0059390B">
        <w:rPr>
          <w:lang w:val="fr-CA"/>
        </w:rPr>
        <w:t xml:space="preserve">recours extracontractuel de la demanderesse, fondé sur la faute d’avoir incité les </w:t>
      </w:r>
      <w:r w:rsidRPr="00E7365A" w:rsidR="00124E0A">
        <w:rPr>
          <w:lang w:val="fr-CA"/>
        </w:rPr>
        <w:t>restaurants</w:t>
      </w:r>
      <w:r w:rsidRPr="00E7365A" w:rsidR="0059390B">
        <w:rPr>
          <w:lang w:val="fr-CA"/>
        </w:rPr>
        <w:t xml:space="preserve"> à facturer des prix lésionnaires, présente une apparence de droit suffisante. </w:t>
      </w:r>
    </w:p>
    <w:p w:rsidR="00230205" w:rsidRPr="0051347C" w:rsidP="0051347C" w14:paraId="0BF7C279" w14:textId="5378889B">
      <w:pPr>
        <w:pStyle w:val="Paragrdouble"/>
        <w:spacing w:line="240" w:lineRule="auto"/>
        <w:rPr>
          <w:lang w:val="fr-CA"/>
        </w:rPr>
      </w:pPr>
      <w:r w:rsidRPr="00356897">
        <w:rPr>
          <w:lang w:val="fr-CA"/>
        </w:rPr>
        <w:t xml:space="preserve">Il est malheureux que la demanderesse n’ait pas indiqué </w:t>
      </w:r>
      <w:r w:rsidRPr="00356897" w:rsidR="000C250A">
        <w:rPr>
          <w:lang w:val="fr-CA"/>
        </w:rPr>
        <w:t xml:space="preserve">dans sa procédure </w:t>
      </w:r>
      <w:r w:rsidRPr="00356897" w:rsidR="008469D4">
        <w:rPr>
          <w:lang w:val="fr-CA"/>
        </w:rPr>
        <w:t xml:space="preserve">qu’elle </w:t>
      </w:r>
      <w:r w:rsidRPr="00356897" w:rsidR="00356897">
        <w:rPr>
          <w:lang w:val="fr-CA"/>
        </w:rPr>
        <w:t>entend fonder</w:t>
      </w:r>
      <w:r w:rsidRPr="00356897">
        <w:rPr>
          <w:lang w:val="fr-CA"/>
        </w:rPr>
        <w:t xml:space="preserve"> </w:t>
      </w:r>
      <w:r w:rsidRPr="00356897" w:rsidR="008469D4">
        <w:rPr>
          <w:lang w:val="fr-CA"/>
        </w:rPr>
        <w:t xml:space="preserve">son recours </w:t>
      </w:r>
      <w:r w:rsidRPr="00356897">
        <w:rPr>
          <w:lang w:val="fr-CA"/>
        </w:rPr>
        <w:t>sur les règles de la responsabilité civile extracontractuelle.</w:t>
      </w:r>
      <w:r w:rsidRPr="00356897" w:rsidR="000C250A">
        <w:rPr>
          <w:lang w:val="fr-CA"/>
        </w:rPr>
        <w:t xml:space="preserve"> </w:t>
      </w:r>
      <w:r w:rsidRPr="00356897">
        <w:rPr>
          <w:lang w:val="fr-CA"/>
        </w:rPr>
        <w:t xml:space="preserve">Les allégations de la </w:t>
      </w:r>
      <w:r w:rsidRPr="00356897" w:rsidR="0033722E">
        <w:rPr>
          <w:lang w:val="fr-CA"/>
        </w:rPr>
        <w:t>Demande d’autorisation</w:t>
      </w:r>
      <w:r w:rsidRPr="00356897">
        <w:rPr>
          <w:lang w:val="fr-CA"/>
        </w:rPr>
        <w:t xml:space="preserve"> </w:t>
      </w:r>
      <w:r w:rsidRPr="00356897" w:rsidR="006E113B">
        <w:rPr>
          <w:lang w:val="fr-CA"/>
        </w:rPr>
        <w:t>portent</w:t>
      </w:r>
      <w:r w:rsidRPr="00356897">
        <w:rPr>
          <w:lang w:val="fr-CA"/>
        </w:rPr>
        <w:t xml:space="preserve"> à confusion à ce sujet</w:t>
      </w:r>
      <w:r w:rsidRPr="00356897" w:rsidR="00E7365A">
        <w:rPr>
          <w:lang w:val="fr-CA"/>
        </w:rPr>
        <w:t>.</w:t>
      </w:r>
      <w:r w:rsidR="00356897">
        <w:rPr>
          <w:lang w:val="fr-CA"/>
        </w:rPr>
        <w:t xml:space="preserve"> </w:t>
      </w:r>
      <w:r w:rsidRPr="0051347C" w:rsidR="00E7365A">
        <w:rPr>
          <w:lang w:val="fr-CA"/>
        </w:rPr>
        <w:t xml:space="preserve">En effet, la </w:t>
      </w:r>
      <w:r w:rsidRPr="0051347C">
        <w:rPr>
          <w:lang w:val="fr-CA"/>
        </w:rPr>
        <w:t>demanderesse ne réfère qu’aux articles 8 L.p.c. et 1437 C.c.Q.</w:t>
      </w:r>
      <w:r w:rsidRPr="0051347C" w:rsidR="008469D4">
        <w:rPr>
          <w:lang w:val="fr-CA"/>
        </w:rPr>
        <w:t xml:space="preserve">, </w:t>
      </w:r>
      <w:r w:rsidRPr="0051347C" w:rsidR="00E7365A">
        <w:rPr>
          <w:lang w:val="fr-CA"/>
        </w:rPr>
        <w:t>sans mentionner</w:t>
      </w:r>
      <w:r w:rsidRPr="0051347C" w:rsidR="008469D4">
        <w:rPr>
          <w:lang w:val="fr-CA"/>
        </w:rPr>
        <w:t xml:space="preserve"> l’article 1457 C.c.Q.</w:t>
      </w:r>
      <w:r w:rsidRPr="0051347C">
        <w:rPr>
          <w:lang w:val="fr-CA"/>
        </w:rPr>
        <w:t xml:space="preserve"> </w:t>
      </w:r>
      <w:r w:rsidRPr="0051347C" w:rsidR="00A81C9F">
        <w:rPr>
          <w:lang w:val="fr-CA"/>
        </w:rPr>
        <w:t xml:space="preserve">L’argumentation écrite produite </w:t>
      </w:r>
      <w:r w:rsidRPr="0051347C" w:rsidR="006A5941">
        <w:rPr>
          <w:lang w:val="fr-CA"/>
        </w:rPr>
        <w:t xml:space="preserve">par la demanderesse à </w:t>
      </w:r>
      <w:r w:rsidRPr="0051347C" w:rsidR="00A81C9F">
        <w:rPr>
          <w:lang w:val="fr-CA"/>
        </w:rPr>
        <w:t>la veille de l’audition n’en fait pas état</w:t>
      </w:r>
      <w:r w:rsidRPr="0051347C" w:rsidR="0051347C">
        <w:rPr>
          <w:lang w:val="fr-CA"/>
        </w:rPr>
        <w:t>,</w:t>
      </w:r>
      <w:r w:rsidRPr="0051347C" w:rsidR="00A81C9F">
        <w:rPr>
          <w:lang w:val="fr-CA"/>
        </w:rPr>
        <w:t xml:space="preserve"> elle non</w:t>
      </w:r>
      <w:r w:rsidRPr="0051347C" w:rsidR="00DD2CAA">
        <w:rPr>
          <w:lang w:val="fr-CA"/>
        </w:rPr>
        <w:t xml:space="preserve"> </w:t>
      </w:r>
      <w:r w:rsidRPr="0051347C" w:rsidR="00A81C9F">
        <w:rPr>
          <w:lang w:val="fr-CA"/>
        </w:rPr>
        <w:t>plus.</w:t>
      </w:r>
      <w:r w:rsidRPr="0051347C" w:rsidR="006A5941">
        <w:rPr>
          <w:lang w:val="fr-CA"/>
        </w:rPr>
        <w:t xml:space="preserve"> </w:t>
      </w:r>
      <w:r w:rsidRPr="0051347C" w:rsidR="008469D4">
        <w:rPr>
          <w:lang w:val="fr-CA"/>
        </w:rPr>
        <w:t>De plus, les questions communes identifiées dans la Demande d’autorisation</w:t>
      </w:r>
      <w:r w:rsidRPr="0051347C">
        <w:rPr>
          <w:lang w:val="fr-CA"/>
        </w:rPr>
        <w:t xml:space="preserve"> ne mentionnent pas la question de savoir si les défenderesses engagent leur responsabilité civile extracontractuelle envers les membres putatifs du groupe. Finalement, les conclusions recherchées incluent non seulement une condamnation en dommages, mais elles </w:t>
      </w:r>
      <w:r w:rsidRPr="0051347C" w:rsidR="0051347C">
        <w:rPr>
          <w:lang w:val="fr-CA"/>
        </w:rPr>
        <w:t xml:space="preserve">visent également </w:t>
      </w:r>
      <w:r w:rsidRPr="0051347C">
        <w:rPr>
          <w:lang w:val="fr-CA"/>
        </w:rPr>
        <w:t xml:space="preserve">des remèdes de nature contractuelle, comme la réduction de prix et l’annulation de clauses. </w:t>
      </w:r>
    </w:p>
    <w:p w:rsidR="006E113B" w:rsidRPr="00230205" w:rsidP="005417CD" w14:paraId="4A811B0D" w14:textId="5D1B8CEE">
      <w:pPr>
        <w:pStyle w:val="Paragrdouble"/>
        <w:spacing w:line="240" w:lineRule="auto"/>
        <w:rPr>
          <w:lang w:val="fr-CA"/>
        </w:rPr>
      </w:pPr>
      <w:r w:rsidRPr="00230205">
        <w:rPr>
          <w:lang w:val="fr-CA"/>
        </w:rPr>
        <w:t xml:space="preserve">En somme, la facture de la Demande d’autorisation laisse </w:t>
      </w:r>
      <w:r w:rsidRPr="00230205" w:rsidR="008469D4">
        <w:rPr>
          <w:lang w:val="fr-CA"/>
        </w:rPr>
        <w:t xml:space="preserve">entendre que la demanderesse </w:t>
      </w:r>
      <w:r w:rsidRPr="00230205">
        <w:rPr>
          <w:lang w:val="fr-CA"/>
        </w:rPr>
        <w:t xml:space="preserve">fonde </w:t>
      </w:r>
      <w:r w:rsidRPr="00230205" w:rsidR="008469D4">
        <w:rPr>
          <w:lang w:val="fr-CA"/>
        </w:rPr>
        <w:t xml:space="preserve">son recours sur les règles </w:t>
      </w:r>
      <w:r w:rsidRPr="00230205" w:rsidR="00356897">
        <w:rPr>
          <w:lang w:val="fr-CA"/>
        </w:rPr>
        <w:t>applicables en matière</w:t>
      </w:r>
      <w:r w:rsidRPr="00230205" w:rsidR="008469D4">
        <w:rPr>
          <w:lang w:val="fr-CA"/>
        </w:rPr>
        <w:t xml:space="preserve"> contractuelle.</w:t>
      </w:r>
      <w:r w:rsidRPr="00230205">
        <w:rPr>
          <w:lang w:val="fr-CA"/>
        </w:rPr>
        <w:t xml:space="preserve"> </w:t>
      </w:r>
      <w:r w:rsidRPr="00230205" w:rsidR="008469D4">
        <w:rPr>
          <w:lang w:val="fr-CA"/>
        </w:rPr>
        <w:t>L’</w:t>
      </w:r>
      <w:r w:rsidRPr="00230205" w:rsidR="005B458F">
        <w:rPr>
          <w:lang w:val="fr-CA"/>
        </w:rPr>
        <w:t xml:space="preserve">omission </w:t>
      </w:r>
      <w:r w:rsidRPr="00230205" w:rsidR="008469D4">
        <w:rPr>
          <w:lang w:val="fr-CA"/>
        </w:rPr>
        <w:t xml:space="preserve">d’identifier </w:t>
      </w:r>
      <w:r w:rsidRPr="00230205" w:rsidR="00E7365A">
        <w:rPr>
          <w:lang w:val="fr-CA"/>
        </w:rPr>
        <w:t>le fondement extracontractuel du recours</w:t>
      </w:r>
      <w:r>
        <w:rPr>
          <w:lang w:val="fr-CA"/>
        </w:rPr>
        <w:t xml:space="preserve"> dans la procédure</w:t>
      </w:r>
      <w:r w:rsidRPr="00230205" w:rsidR="00E7365A">
        <w:rPr>
          <w:lang w:val="fr-CA"/>
        </w:rPr>
        <w:t xml:space="preserve"> </w:t>
      </w:r>
      <w:r w:rsidRPr="00230205" w:rsidR="005B458F">
        <w:rPr>
          <w:lang w:val="fr-CA"/>
        </w:rPr>
        <w:t>ne favorise pas un débat loyal. Elle n’est toutefois pas fatale.</w:t>
      </w:r>
      <w:r w:rsidRPr="00230205" w:rsidR="007A1C2F">
        <w:rPr>
          <w:lang w:val="fr-CA"/>
        </w:rPr>
        <w:t xml:space="preserve"> </w:t>
      </w:r>
      <w:r w:rsidRPr="00230205" w:rsidR="00AC6E5E">
        <w:rPr>
          <w:lang w:val="fr-CA"/>
        </w:rPr>
        <w:t>En effet</w:t>
      </w:r>
      <w:r w:rsidRPr="00230205" w:rsidR="005B458F">
        <w:rPr>
          <w:lang w:val="fr-CA"/>
        </w:rPr>
        <w:t xml:space="preserve">, </w:t>
      </w:r>
      <w:r w:rsidRPr="00230205" w:rsidR="00234BA1">
        <w:rPr>
          <w:lang w:val="fr-CA"/>
        </w:rPr>
        <w:t>la</w:t>
      </w:r>
      <w:r w:rsidRPr="00230205" w:rsidR="007A1C2F">
        <w:rPr>
          <w:lang w:val="fr-CA"/>
        </w:rPr>
        <w:t xml:space="preserve"> demanderesse n’a pas l’obligation d’alléguer ses moyens de droit dans sa</w:t>
      </w:r>
      <w:r w:rsidRPr="00230205" w:rsidR="005B458F">
        <w:rPr>
          <w:lang w:val="fr-CA"/>
        </w:rPr>
        <w:t xml:space="preserve"> </w:t>
      </w:r>
      <w:r w:rsidRPr="00230205" w:rsidR="0033722E">
        <w:rPr>
          <w:lang w:val="fr-CA"/>
        </w:rPr>
        <w:t>Demande d’autorisation</w:t>
      </w:r>
      <w:r>
        <w:rPr>
          <w:rStyle w:val="FootnoteReference"/>
          <w:lang w:val="fr-CA"/>
        </w:rPr>
        <w:footnoteReference w:id="56"/>
      </w:r>
      <w:r w:rsidRPr="00230205" w:rsidR="007A1C2F">
        <w:rPr>
          <w:lang w:val="fr-CA"/>
        </w:rPr>
        <w:t xml:space="preserve">. Selon </w:t>
      </w:r>
      <w:r w:rsidRPr="00230205" w:rsidR="007A1C2F">
        <w:rPr>
          <w:lang w:val="fr-CA"/>
        </w:rPr>
        <w:t xml:space="preserve">une jurisprudence bien établie, </w:t>
      </w:r>
      <w:r w:rsidRPr="00230205" w:rsidR="005B458F">
        <w:rPr>
          <w:lang w:val="fr-CA"/>
        </w:rPr>
        <w:t>les</w:t>
      </w:r>
      <w:r w:rsidRPr="00230205" w:rsidR="00234BA1">
        <w:rPr>
          <w:lang w:val="fr-CA"/>
        </w:rPr>
        <w:t xml:space="preserve"> partie</w:t>
      </w:r>
      <w:r w:rsidRPr="00230205" w:rsidR="005B458F">
        <w:rPr>
          <w:lang w:val="fr-CA"/>
        </w:rPr>
        <w:t>s</w:t>
      </w:r>
      <w:r w:rsidRPr="00230205" w:rsidR="00234BA1">
        <w:rPr>
          <w:lang w:val="fr-CA"/>
        </w:rPr>
        <w:t xml:space="preserve"> </w:t>
      </w:r>
      <w:r w:rsidRPr="00230205" w:rsidR="005B458F">
        <w:rPr>
          <w:lang w:val="fr-CA"/>
        </w:rPr>
        <w:t>doivent</w:t>
      </w:r>
      <w:r w:rsidRPr="00230205" w:rsidR="00234BA1">
        <w:rPr>
          <w:lang w:val="fr-CA"/>
        </w:rPr>
        <w:t xml:space="preserve"> alléguer les faits, </w:t>
      </w:r>
      <w:r w:rsidRPr="00230205" w:rsidR="005B458F">
        <w:rPr>
          <w:lang w:val="fr-CA"/>
        </w:rPr>
        <w:t>mais elles n’ont pas l’obligation d’alléguer le droit dans leur procédure</w:t>
      </w:r>
      <w:r w:rsidRPr="00230205" w:rsidR="00234BA1">
        <w:rPr>
          <w:lang w:val="fr-CA"/>
        </w:rPr>
        <w:t xml:space="preserve"> écrite</w:t>
      </w:r>
      <w:r>
        <w:rPr>
          <w:rStyle w:val="FootnoteReference"/>
          <w:lang w:val="fr-CA"/>
        </w:rPr>
        <w:footnoteReference w:id="57"/>
      </w:r>
      <w:r w:rsidRPr="00230205" w:rsidR="00234BA1">
        <w:rPr>
          <w:lang w:val="fr-CA"/>
        </w:rPr>
        <w:t xml:space="preserve">. </w:t>
      </w:r>
    </w:p>
    <w:p w:rsidR="000C250A" w:rsidRPr="00AC6E5E" w:rsidP="009E39A3" w14:paraId="424265B8" w14:textId="6A867AFD">
      <w:pPr>
        <w:pStyle w:val="Paragrdouble"/>
        <w:spacing w:line="240" w:lineRule="auto"/>
        <w:rPr>
          <w:lang w:val="fr-CA"/>
        </w:rPr>
      </w:pPr>
      <w:r>
        <w:rPr>
          <w:lang w:val="fr-CA"/>
        </w:rPr>
        <w:t>Or, d</w:t>
      </w:r>
      <w:r w:rsidRPr="00AC6E5E">
        <w:rPr>
          <w:lang w:val="fr-CA"/>
        </w:rPr>
        <w:t xml:space="preserve">ans le présent dossier, tous les faits nécessaires pour soutenir une réclamation fondée sur les règles de la responsabilité civile extracontractuelle sont allégués. En particulier, la </w:t>
      </w:r>
      <w:r>
        <w:rPr>
          <w:lang w:val="fr-CA"/>
        </w:rPr>
        <w:t xml:space="preserve">procédure </w:t>
      </w:r>
      <w:r w:rsidRPr="00AC6E5E">
        <w:rPr>
          <w:lang w:val="fr-CA"/>
        </w:rPr>
        <w:t xml:space="preserve">indique explicitement que les défenderesses </w:t>
      </w:r>
      <w:r w:rsidR="00356897">
        <w:rPr>
          <w:lang w:val="fr-CA"/>
        </w:rPr>
        <w:t xml:space="preserve">établissent les prix des suppléments exigés par leurs franchisés et qu’elles </w:t>
      </w:r>
      <w:r w:rsidRPr="00AC6E5E">
        <w:rPr>
          <w:lang w:val="fr-CA"/>
        </w:rPr>
        <w:t>ont causé, par leur faute (« </w:t>
      </w:r>
      <w:r w:rsidRPr="00AC6E5E">
        <w:rPr>
          <w:i/>
          <w:iCs/>
          <w:lang w:val="fr-CA"/>
        </w:rPr>
        <w:t>misconduct</w:t>
      </w:r>
      <w:r w:rsidRPr="00AC6E5E">
        <w:rPr>
          <w:lang w:val="fr-CA"/>
        </w:rPr>
        <w:t> »)</w:t>
      </w:r>
      <w:r>
        <w:rPr>
          <w:lang w:val="fr-CA"/>
        </w:rPr>
        <w:t>,</w:t>
      </w:r>
      <w:r w:rsidRPr="00AC6E5E">
        <w:rPr>
          <w:lang w:val="fr-CA"/>
        </w:rPr>
        <w:t xml:space="preserve"> des dommages aux membres putatifs du groupe</w:t>
      </w:r>
      <w:r>
        <w:rPr>
          <w:rStyle w:val="FootnoteReference"/>
          <w:lang w:val="fr-CA"/>
        </w:rPr>
        <w:footnoteReference w:id="58"/>
      </w:r>
      <w:r w:rsidR="008469D4">
        <w:rPr>
          <w:lang w:val="fr-CA"/>
        </w:rPr>
        <w:t>. De plus, les paragraphes 59, 74 a), 75, 76.2 et 76.6 de sa procédure indiquent que la demanderesse veut</w:t>
      </w:r>
      <w:r w:rsidR="00230205">
        <w:rPr>
          <w:lang w:val="fr-CA"/>
        </w:rPr>
        <w:t xml:space="preserve"> être autorisée à</w:t>
      </w:r>
      <w:r w:rsidR="008469D4">
        <w:rPr>
          <w:lang w:val="fr-CA"/>
        </w:rPr>
        <w:t xml:space="preserve"> réclamer des dommages compensatoires correspondant au montant du supplément de prix. </w:t>
      </w:r>
    </w:p>
    <w:p w:rsidR="00234BA1" w:rsidP="005B6D5E" w14:paraId="05FF926E" w14:textId="06930A5C">
      <w:pPr>
        <w:pStyle w:val="Paragrdouble"/>
        <w:spacing w:line="240" w:lineRule="auto"/>
        <w:rPr>
          <w:lang w:val="fr-CA"/>
        </w:rPr>
      </w:pPr>
      <w:r>
        <w:rPr>
          <w:lang w:val="fr-CA"/>
        </w:rPr>
        <w:t>I</w:t>
      </w:r>
      <w:r w:rsidR="001F1337">
        <w:rPr>
          <w:lang w:val="fr-CA"/>
        </w:rPr>
        <w:t>l</w:t>
      </w:r>
      <w:r w:rsidR="00E7365A">
        <w:rPr>
          <w:lang w:val="fr-CA"/>
        </w:rPr>
        <w:t xml:space="preserve"> est possible que</w:t>
      </w:r>
      <w:r w:rsidRPr="00AC6E5E" w:rsidR="005B458F">
        <w:rPr>
          <w:lang w:val="fr-CA"/>
        </w:rPr>
        <w:t xml:space="preserve"> </w:t>
      </w:r>
      <w:r w:rsidRPr="00AC6E5E">
        <w:rPr>
          <w:lang w:val="fr-CA"/>
        </w:rPr>
        <w:t xml:space="preserve">les arguments formulés à l’audience </w:t>
      </w:r>
      <w:r w:rsidRPr="00AC6E5E" w:rsidR="005B458F">
        <w:rPr>
          <w:lang w:val="fr-CA"/>
        </w:rPr>
        <w:t>fondés sur l</w:t>
      </w:r>
      <w:r w:rsidR="001F1337">
        <w:rPr>
          <w:lang w:val="fr-CA"/>
        </w:rPr>
        <w:t>e régime de</w:t>
      </w:r>
      <w:r w:rsidRPr="00AC6E5E" w:rsidR="005B458F">
        <w:rPr>
          <w:lang w:val="fr-CA"/>
        </w:rPr>
        <w:t xml:space="preserve"> responsabilité civile extracontractuelle </w:t>
      </w:r>
      <w:r w:rsidR="00E7365A">
        <w:rPr>
          <w:lang w:val="fr-CA"/>
        </w:rPr>
        <w:t>aient pris</w:t>
      </w:r>
      <w:r w:rsidRPr="00AC6E5E" w:rsidR="000C250A">
        <w:rPr>
          <w:lang w:val="fr-CA"/>
        </w:rPr>
        <w:t xml:space="preserve"> les</w:t>
      </w:r>
      <w:r w:rsidRPr="00AC6E5E">
        <w:rPr>
          <w:lang w:val="fr-CA"/>
        </w:rPr>
        <w:t xml:space="preserve"> défenderesses par surprise</w:t>
      </w:r>
      <w:r w:rsidR="00E7365A">
        <w:rPr>
          <w:lang w:val="fr-CA"/>
        </w:rPr>
        <w:t>. Si c’était le cas,</w:t>
      </w:r>
      <w:r w:rsidRPr="00AC6E5E">
        <w:rPr>
          <w:lang w:val="fr-CA"/>
        </w:rPr>
        <w:t xml:space="preserve"> elles </w:t>
      </w:r>
      <w:r w:rsidRPr="00AC6E5E" w:rsidR="000C250A">
        <w:rPr>
          <w:lang w:val="fr-CA"/>
        </w:rPr>
        <w:t>pouvaient</w:t>
      </w:r>
      <w:r w:rsidRPr="00AC6E5E">
        <w:rPr>
          <w:lang w:val="fr-CA"/>
        </w:rPr>
        <w:t xml:space="preserve"> demander un ajournement ou la permission de produire des notes et autorités additionnelles</w:t>
      </w:r>
      <w:r w:rsidRPr="00AC6E5E" w:rsidR="000C250A">
        <w:rPr>
          <w:lang w:val="fr-CA"/>
        </w:rPr>
        <w:t xml:space="preserve"> à ce sujet. Elles ne l</w:t>
      </w:r>
      <w:r w:rsidRPr="00AC6E5E">
        <w:rPr>
          <w:lang w:val="fr-CA"/>
        </w:rPr>
        <w:t>’ont pas fait.</w:t>
      </w:r>
    </w:p>
    <w:p w:rsidR="000E419B" w:rsidP="00FB7E68" w14:paraId="0329A7A9" w14:textId="0F89027D">
      <w:pPr>
        <w:pStyle w:val="Paragrdouble"/>
        <w:spacing w:line="240" w:lineRule="auto"/>
        <w:rPr>
          <w:lang w:val="fr-CA"/>
        </w:rPr>
      </w:pPr>
      <w:r>
        <w:rPr>
          <w:lang w:val="fr-CA"/>
        </w:rPr>
        <w:t>Soulignons pour terminer que l</w:t>
      </w:r>
      <w:r w:rsidR="00EB4091">
        <w:rPr>
          <w:lang w:val="fr-CA"/>
        </w:rPr>
        <w:t xml:space="preserve">a demanderesse veut être autorisée à poursuivre </w:t>
      </w:r>
      <w:r w:rsidR="001A71D9">
        <w:rPr>
          <w:lang w:val="fr-CA"/>
        </w:rPr>
        <w:t xml:space="preserve">non seulement TDL Group, qu’elle identifie comme étant le franchiseur des restaurants Tim Hortons et l’entité qui fixe le prix des produits vendus dans ces restaurants, mais également des sociétés liées, Restaurant Brands International Inc. et Restaurant Brands International Limited Partnership. La </w:t>
      </w:r>
      <w:r w:rsidR="0033722E">
        <w:rPr>
          <w:lang w:val="fr-CA"/>
        </w:rPr>
        <w:t>Demande d’autorisation</w:t>
      </w:r>
      <w:r w:rsidR="001A71D9">
        <w:rPr>
          <w:lang w:val="fr-CA"/>
        </w:rPr>
        <w:t xml:space="preserve"> ne contient aucune allégation susceptible de donner ouverture à un recours contre ces deux sociétés. </w:t>
      </w:r>
      <w:r w:rsidR="00013480">
        <w:rPr>
          <w:lang w:val="fr-CA"/>
        </w:rPr>
        <w:t xml:space="preserve">En particulier, il n’est pas allégué que ces entités sont des franchiseurs ou qu’ils déterminent le prix des produits vendus dans les restaurants Tim Hortons. </w:t>
      </w:r>
      <w:r w:rsidR="00773EE9">
        <w:rPr>
          <w:lang w:val="fr-CA"/>
        </w:rPr>
        <w:t>L’action collective ne sera donc pas autorisée</w:t>
      </w:r>
      <w:r w:rsidR="001A71D9">
        <w:rPr>
          <w:lang w:val="fr-CA"/>
        </w:rPr>
        <w:t xml:space="preserve"> en ce qui les concerne.</w:t>
      </w:r>
    </w:p>
    <w:p w:rsidR="007636A5" w:rsidP="007636A5" w14:paraId="08AE8E89" w14:textId="77777777">
      <w:pPr>
        <w:pStyle w:val="Heading3"/>
        <w:rPr>
          <w:lang w:val="fr-CA"/>
        </w:rPr>
      </w:pPr>
      <w:r>
        <w:rPr>
          <w:lang w:val="fr-CA"/>
        </w:rPr>
        <w:t>Clause abusive dans un contrat de consommation (art. 1437 C.c.Q.)</w:t>
      </w:r>
    </w:p>
    <w:p w:rsidR="007636A5" w:rsidRPr="00C618CB" w:rsidP="007636A5" w14:paraId="2B9ECA21" w14:textId="77777777">
      <w:pPr>
        <w:pStyle w:val="Paragrdouble"/>
        <w:spacing w:line="240" w:lineRule="auto"/>
        <w:rPr>
          <w:lang w:val="fr-CA"/>
        </w:rPr>
      </w:pPr>
      <w:r>
        <w:rPr>
          <w:lang w:val="fr-CA"/>
        </w:rPr>
        <w:t>La demanderesse soutient que les clauses en vertu desquelles les restaurants facturent un supplément de prix sont des clauses abusives dans un contrat de consommation. Dans la mesure où cette cause d’action supporte la réclamation en dommages compensatoires, elle s’ajoute à celle fondée sur le caractère lésionnaire du supplément de prix et le Tribunal n’a pas à décider si elle respecte l’exigence de l’apparence de droit</w:t>
      </w:r>
      <w:r>
        <w:rPr>
          <w:rStyle w:val="FootnoteReference"/>
          <w:lang w:val="fr-CA"/>
        </w:rPr>
        <w:footnoteReference w:id="59"/>
      </w:r>
      <w:r w:rsidRPr="00C618CB">
        <w:rPr>
          <w:lang w:val="fr-CA"/>
        </w:rPr>
        <w:t>.</w:t>
      </w:r>
    </w:p>
    <w:p w:rsidR="007636A5" w:rsidP="00CD4F89" w14:paraId="6C0C33C2" w14:textId="122D85E4">
      <w:pPr>
        <w:pStyle w:val="Heading3"/>
        <w:rPr>
          <w:lang w:val="fr-CA"/>
        </w:rPr>
      </w:pPr>
      <w:r>
        <w:rPr>
          <w:lang w:val="fr-CA"/>
        </w:rPr>
        <w:t>Conclusions recherchées</w:t>
      </w:r>
    </w:p>
    <w:p w:rsidR="007636A5" w:rsidP="007636A5" w14:paraId="2A55624F" w14:textId="337EF429">
      <w:pPr>
        <w:pStyle w:val="Paragrdouble"/>
        <w:spacing w:line="240" w:lineRule="auto"/>
        <w:rPr>
          <w:lang w:val="fr-CA"/>
        </w:rPr>
      </w:pPr>
      <w:r>
        <w:rPr>
          <w:lang w:val="fr-CA"/>
        </w:rPr>
        <w:t>Pour les motifs qui précèdent, le Tribunal conclut</w:t>
      </w:r>
      <w:r w:rsidR="00804B13">
        <w:rPr>
          <w:lang w:val="fr-CA"/>
        </w:rPr>
        <w:t xml:space="preserve"> que l</w:t>
      </w:r>
      <w:r>
        <w:rPr>
          <w:lang w:val="fr-CA"/>
        </w:rPr>
        <w:t xml:space="preserve">a demanderesse peut valablement soutenir que les défenderesses ont commis une faute et engagé leur responsabilité civile extracontractuelle envers elle en incitant leurs franchisés à lui facturer des suppléments de prix lésionnaires. Les faits allégués paraissent donc justifier les conclusions déclaratoires et </w:t>
      </w:r>
      <w:r>
        <w:rPr>
          <w:lang w:val="fr-CA"/>
        </w:rPr>
        <w:t>la condamnation en</w:t>
      </w:r>
      <w:r>
        <w:rPr>
          <w:lang w:val="fr-CA"/>
        </w:rPr>
        <w:t xml:space="preserve"> dommages que l’on retrouve aux paragraphes 76.2, 76.3, 76.4, 76.6 (conclusion principale), 76.7, 76.10 et 76.11 de la Demande d’autorisation.</w:t>
      </w:r>
    </w:p>
    <w:p w:rsidR="00552698" w:rsidP="00552698" w14:paraId="10CE4023" w14:textId="3EF682B0">
      <w:pPr>
        <w:pStyle w:val="Paragrdouble"/>
        <w:spacing w:line="240" w:lineRule="auto"/>
        <w:rPr>
          <w:lang w:val="fr-CA"/>
        </w:rPr>
      </w:pPr>
      <w:r>
        <w:rPr>
          <w:lang w:val="fr-CA"/>
        </w:rPr>
        <w:t xml:space="preserve">Toutefois, les faits allégués ne justifient pas la demande de </w:t>
      </w:r>
      <w:r w:rsidRPr="00C053BA" w:rsidR="00123F43">
        <w:rPr>
          <w:lang w:val="fr-CA"/>
        </w:rPr>
        <w:t xml:space="preserve">dommages punitifs en vertu de l’article 272 L.p.c. </w:t>
      </w:r>
      <w:r>
        <w:rPr>
          <w:lang w:val="fr-CA"/>
        </w:rPr>
        <w:t>En effet</w:t>
      </w:r>
      <w:r>
        <w:rPr>
          <w:lang w:val="fr-CA"/>
        </w:rPr>
        <w:t xml:space="preserve">, les </w:t>
      </w:r>
      <w:r w:rsidR="008E0664">
        <w:rPr>
          <w:lang w:val="fr-CA"/>
        </w:rPr>
        <w:t xml:space="preserve">recours prévus à cette disposition ne </w:t>
      </w:r>
      <w:r>
        <w:rPr>
          <w:lang w:val="fr-CA"/>
        </w:rPr>
        <w:t>s’appliquent qu’entre</w:t>
      </w:r>
      <w:r w:rsidR="008E0664">
        <w:rPr>
          <w:lang w:val="fr-CA"/>
        </w:rPr>
        <w:t xml:space="preserve"> les parties au contrat de consommation. </w:t>
      </w:r>
      <w:r>
        <w:rPr>
          <w:lang w:val="fr-CA"/>
        </w:rPr>
        <w:t xml:space="preserve">À titre d’exemple, dans l’arrêt </w:t>
      </w:r>
      <w:r w:rsidRPr="00552698">
        <w:rPr>
          <w:i/>
          <w:iCs/>
          <w:lang w:val="fr-CA"/>
        </w:rPr>
        <w:t>Richard c. Time inc</w:t>
      </w:r>
      <w:r>
        <w:rPr>
          <w:lang w:val="fr-CA"/>
        </w:rPr>
        <w:t>., la Cour suprême du Canada énonce qu’un publicitaire qui contrevient à ses obligations en vertu de la L.p.c. ne peut pas être poursuivi par un consommateur en vertu de l’article 272 L.p.c., car il n’a pas conclu de contrat avec celui-ci</w:t>
      </w:r>
      <w:r>
        <w:rPr>
          <w:rStyle w:val="FootnoteReference"/>
          <w:lang w:val="fr-CA"/>
        </w:rPr>
        <w:footnoteReference w:id="60"/>
      </w:r>
      <w:r>
        <w:rPr>
          <w:lang w:val="fr-CA"/>
        </w:rPr>
        <w:t xml:space="preserve">. </w:t>
      </w:r>
    </w:p>
    <w:p w:rsidR="008E0664" w:rsidP="00C618CB" w14:paraId="031F0BE0" w14:textId="5C80D32C">
      <w:pPr>
        <w:pStyle w:val="Paragrdouble"/>
        <w:spacing w:line="240" w:lineRule="auto"/>
        <w:rPr>
          <w:lang w:val="fr-CA"/>
        </w:rPr>
      </w:pPr>
      <w:r>
        <w:rPr>
          <w:lang w:val="fr-CA"/>
        </w:rPr>
        <w:t xml:space="preserve">Or, la demanderesse n’allègue pas avoir conclu un contrat de consommation avec l’une des défenderesses. </w:t>
      </w:r>
      <w:r w:rsidR="006E113B">
        <w:rPr>
          <w:lang w:val="fr-CA"/>
        </w:rPr>
        <w:t xml:space="preserve">Comme discuté ci-dessus, elle </w:t>
      </w:r>
      <w:r w:rsidR="00C618CB">
        <w:rPr>
          <w:lang w:val="fr-CA"/>
        </w:rPr>
        <w:t>soutient à l’audience que son recours contre elles se fonde sur les règles de la responsabilité civile extracontractuelle</w:t>
      </w:r>
      <w:r w:rsidRPr="00C618CB">
        <w:rPr>
          <w:lang w:val="fr-CA"/>
        </w:rPr>
        <w:t>.</w:t>
      </w:r>
      <w:r w:rsidRPr="00C618CB" w:rsidR="006E113B">
        <w:rPr>
          <w:lang w:val="fr-CA"/>
        </w:rPr>
        <w:t xml:space="preserve"> Dans ce contexte, l’article 272 L.p.c. ne trouve pas application. Il n’existe aucun fondement légal pour la réclamation en dommages punitifs</w:t>
      </w:r>
      <w:r w:rsidR="00776F90">
        <w:rPr>
          <w:lang w:val="fr-CA"/>
        </w:rPr>
        <w:t xml:space="preserve"> de la demanderesse</w:t>
      </w:r>
      <w:r w:rsidRPr="00C618CB" w:rsidR="006E113B">
        <w:rPr>
          <w:lang w:val="fr-CA"/>
        </w:rPr>
        <w:t xml:space="preserve">. Cette réclamation est donc </w:t>
      </w:r>
      <w:r w:rsidRPr="00C618CB" w:rsidR="00C053BA">
        <w:rPr>
          <w:lang w:val="fr-CA"/>
        </w:rPr>
        <w:t>vouée à l’échec</w:t>
      </w:r>
      <w:r w:rsidRPr="00C618CB" w:rsidR="006E113B">
        <w:rPr>
          <w:lang w:val="fr-CA"/>
        </w:rPr>
        <w:t xml:space="preserve"> et ne sera pas autorisée</w:t>
      </w:r>
      <w:r w:rsidRPr="00C618CB" w:rsidR="00C053BA">
        <w:rPr>
          <w:lang w:val="fr-CA"/>
        </w:rPr>
        <w:t>.</w:t>
      </w:r>
      <w:r w:rsidRPr="00C618CB">
        <w:rPr>
          <w:lang w:val="fr-CA"/>
        </w:rPr>
        <w:t xml:space="preserve"> </w:t>
      </w:r>
    </w:p>
    <w:p w:rsidR="00804B13" w:rsidP="00804B13" w14:paraId="0039B12A" w14:textId="4D510AE2">
      <w:pPr>
        <w:pStyle w:val="Paragrdouble"/>
        <w:spacing w:line="240" w:lineRule="auto"/>
        <w:rPr>
          <w:lang w:val="fr-CA"/>
        </w:rPr>
      </w:pPr>
      <w:r>
        <w:rPr>
          <w:lang w:val="fr-CA"/>
        </w:rPr>
        <w:t xml:space="preserve">Finalement, les faits allégués ne paraissent pas justifier les conclusions de la Demande d’autorisation </w:t>
      </w:r>
      <w:r w:rsidR="0051347C">
        <w:rPr>
          <w:lang w:val="fr-CA"/>
        </w:rPr>
        <w:t>qui visent</w:t>
      </w:r>
      <w:r>
        <w:rPr>
          <w:lang w:val="fr-CA"/>
        </w:rPr>
        <w:t xml:space="preserve"> des remèdes de nature contractuelle. Plus précisément, les faits allégués ne paraissent pas justifier les conclusions concernant la nullité des contrats, la restitution des prestations et la réduction des obligations</w:t>
      </w:r>
      <w:r w:rsidR="00776F90">
        <w:rPr>
          <w:lang w:val="fr-CA"/>
        </w:rPr>
        <w:t xml:space="preserve"> des membres putatifs du groupe</w:t>
      </w:r>
      <w:r>
        <w:rPr>
          <w:lang w:val="fr-CA"/>
        </w:rPr>
        <w:t xml:space="preserve"> (paragraphes 76.5 et 76.6 – conclusion subsidiaire). </w:t>
      </w:r>
      <w:r w:rsidR="0051347C">
        <w:rPr>
          <w:lang w:val="fr-CA"/>
        </w:rPr>
        <w:t>D</w:t>
      </w:r>
      <w:r>
        <w:rPr>
          <w:lang w:val="fr-CA"/>
        </w:rPr>
        <w:t>e telles conclusions relèvent de la sphère contractuelle et ne peuvent pas être recherchées à l’encontre des défenderesses, qui sont des tiers aux contrats passés par la demanderesse.</w:t>
      </w:r>
    </w:p>
    <w:p w:rsidR="001F0F9B" w:rsidP="001F0F9B" w14:paraId="36C1D9FC" w14:textId="7E5D476A">
      <w:pPr>
        <w:pStyle w:val="Heading2"/>
        <w:rPr>
          <w:lang w:val="fr-CA"/>
        </w:rPr>
      </w:pPr>
      <w:r>
        <w:rPr>
          <w:lang w:val="fr-CA"/>
        </w:rPr>
        <w:t>Définition du groupe</w:t>
      </w:r>
    </w:p>
    <w:p w:rsidR="001F0F9B" w:rsidP="00AA55E1" w14:paraId="0C4ED15D" w14:textId="13E648C7">
      <w:pPr>
        <w:pStyle w:val="Paragrdouble"/>
        <w:spacing w:line="240" w:lineRule="auto"/>
        <w:rPr>
          <w:lang w:val="fr-CA"/>
        </w:rPr>
      </w:pPr>
      <w:r>
        <w:rPr>
          <w:lang w:val="fr-CA"/>
        </w:rPr>
        <w:t>Il convient</w:t>
      </w:r>
      <w:r>
        <w:rPr>
          <w:lang w:val="fr-CA"/>
        </w:rPr>
        <w:t xml:space="preserve"> de modifier légèrement la définition du groupe proposé afin de la rendre plus précise</w:t>
      </w:r>
      <w:r w:rsidR="0051347C">
        <w:rPr>
          <w:lang w:val="fr-CA"/>
        </w:rPr>
        <w:t xml:space="preserve">. En effet, la référence au terme « substitut non laitier » est ambiguë et pourrait </w:t>
      </w:r>
      <w:r w:rsidRPr="00FD3121" w:rsidR="0051347C">
        <w:rPr>
          <w:lang w:val="fr-CA"/>
        </w:rPr>
        <w:t xml:space="preserve">être </w:t>
      </w:r>
      <w:r w:rsidR="00FD3121">
        <w:rPr>
          <w:lang w:val="fr-CA"/>
        </w:rPr>
        <w:t>incomprise</w:t>
      </w:r>
      <w:r w:rsidR="0051347C">
        <w:rPr>
          <w:lang w:val="fr-CA"/>
        </w:rPr>
        <w:t xml:space="preserve"> des membres putatifs du groupe. Il est préférable d’identifier</w:t>
      </w:r>
      <w:r w:rsidR="00C400AA">
        <w:rPr>
          <w:lang w:val="fr-CA"/>
        </w:rPr>
        <w:t xml:space="preserve"> les laits végétaux qui sont visés par l’action collective</w:t>
      </w:r>
      <w:r>
        <w:rPr>
          <w:lang w:val="fr-CA"/>
        </w:rPr>
        <w:t xml:space="preserve">. </w:t>
      </w:r>
      <w:r w:rsidR="009C7EEE">
        <w:rPr>
          <w:lang w:val="fr-CA"/>
        </w:rPr>
        <w:t>À ce sujet, le Tribunal retient de la preuve produite par la demanderesse que son recours vise le supplément</w:t>
      </w:r>
      <w:r w:rsidR="00123F43">
        <w:rPr>
          <w:lang w:val="fr-CA"/>
        </w:rPr>
        <w:t xml:space="preserve"> de prix</w:t>
      </w:r>
      <w:r w:rsidR="009C7EEE">
        <w:rPr>
          <w:lang w:val="fr-CA"/>
        </w:rPr>
        <w:t xml:space="preserve"> facturé pour le lait d’avoine, de soya, d’amande et de coco</w:t>
      </w:r>
      <w:r>
        <w:rPr>
          <w:rStyle w:val="FootnoteReference"/>
          <w:lang w:val="fr-CA"/>
        </w:rPr>
        <w:footnoteReference w:id="61"/>
      </w:r>
      <w:r w:rsidR="009C7EEE">
        <w:rPr>
          <w:lang w:val="fr-CA"/>
        </w:rPr>
        <w:t>.</w:t>
      </w:r>
    </w:p>
    <w:p w:rsidR="009C75DA" w:rsidP="009C75DA" w14:paraId="3E6130E5" w14:textId="7677EAAE">
      <w:pPr>
        <w:pStyle w:val="Heading2"/>
        <w:rPr>
          <w:lang w:val="fr-CA"/>
        </w:rPr>
      </w:pPr>
      <w:r>
        <w:rPr>
          <w:lang w:val="fr-CA"/>
        </w:rPr>
        <w:t>Questions de faits ou de droit à traiter collectivement</w:t>
      </w:r>
    </w:p>
    <w:p w:rsidR="009C75DA" w:rsidP="009C75DA" w14:paraId="0F49EA87" w14:textId="36024D0C">
      <w:pPr>
        <w:pStyle w:val="Paragrdouble"/>
        <w:spacing w:line="240" w:lineRule="auto"/>
        <w:rPr>
          <w:lang w:val="fr-CA"/>
        </w:rPr>
      </w:pPr>
      <w:r>
        <w:rPr>
          <w:lang w:val="fr-CA"/>
        </w:rPr>
        <w:t xml:space="preserve">Aucune des questions communes </w:t>
      </w:r>
      <w:r w:rsidR="008469D4">
        <w:rPr>
          <w:lang w:val="fr-CA"/>
        </w:rPr>
        <w:t>proposées</w:t>
      </w:r>
      <w:r>
        <w:rPr>
          <w:lang w:val="fr-CA"/>
        </w:rPr>
        <w:t xml:space="preserve"> par la demanderesse ne concerne la responsabilité </w:t>
      </w:r>
      <w:r w:rsidR="008469D4">
        <w:rPr>
          <w:lang w:val="fr-CA"/>
        </w:rPr>
        <w:t xml:space="preserve">civile </w:t>
      </w:r>
      <w:r>
        <w:rPr>
          <w:lang w:val="fr-CA"/>
        </w:rPr>
        <w:t>extracontractuelle</w:t>
      </w:r>
      <w:r w:rsidR="00A81C9F">
        <w:rPr>
          <w:lang w:val="fr-CA"/>
        </w:rPr>
        <w:t xml:space="preserve"> des défenderesses</w:t>
      </w:r>
      <w:r>
        <w:rPr>
          <w:lang w:val="fr-CA"/>
        </w:rPr>
        <w:t xml:space="preserve">. </w:t>
      </w:r>
      <w:r w:rsidR="007636A5">
        <w:rPr>
          <w:lang w:val="fr-CA"/>
        </w:rPr>
        <w:t>Il convient d’ajouter une question à ce sujet parmi les questions de fait et de droit à traiter collectivement.</w:t>
      </w:r>
    </w:p>
    <w:p w:rsidR="007636A5" w:rsidP="004B39A2" w14:paraId="705D7F84" w14:textId="1747ADBC">
      <w:pPr>
        <w:pStyle w:val="Paragrdouble"/>
        <w:spacing w:line="240" w:lineRule="auto"/>
        <w:rPr>
          <w:lang w:val="fr-CA"/>
        </w:rPr>
      </w:pPr>
      <w:r w:rsidRPr="008469D4">
        <w:rPr>
          <w:lang w:val="fr-CA"/>
        </w:rPr>
        <w:t>Par ailleurs,</w:t>
      </w:r>
      <w:r>
        <w:rPr>
          <w:lang w:val="fr-CA"/>
        </w:rPr>
        <w:t xml:space="preserve"> le Tribunal a déjà conclu que</w:t>
      </w:r>
      <w:r w:rsidRPr="008469D4">
        <w:rPr>
          <w:lang w:val="fr-CA"/>
        </w:rPr>
        <w:t xml:space="preserve"> </w:t>
      </w:r>
      <w:r w:rsidRPr="008469D4" w:rsidR="009C75DA">
        <w:rPr>
          <w:lang w:val="fr-CA"/>
        </w:rPr>
        <w:t xml:space="preserve">les questions </w:t>
      </w:r>
      <w:r w:rsidRPr="008469D4" w:rsidR="007E1D61">
        <w:rPr>
          <w:lang w:val="fr-CA"/>
        </w:rPr>
        <w:t xml:space="preserve">communes </w:t>
      </w:r>
      <w:r w:rsidRPr="008469D4">
        <w:rPr>
          <w:lang w:val="fr-CA"/>
        </w:rPr>
        <w:t>identifiées</w:t>
      </w:r>
      <w:r w:rsidRPr="008469D4" w:rsidR="007E1D61">
        <w:rPr>
          <w:lang w:val="fr-CA"/>
        </w:rPr>
        <w:t xml:space="preserve"> </w:t>
      </w:r>
      <w:r w:rsidR="00776F90">
        <w:rPr>
          <w:lang w:val="fr-CA"/>
        </w:rPr>
        <w:t xml:space="preserve">à </w:t>
      </w:r>
      <w:r w:rsidRPr="008469D4" w:rsidR="00A81C9F">
        <w:rPr>
          <w:lang w:val="fr-CA"/>
        </w:rPr>
        <w:t xml:space="preserve">la </w:t>
      </w:r>
      <w:r w:rsidRPr="008469D4" w:rsidR="0033722E">
        <w:rPr>
          <w:lang w:val="fr-CA"/>
        </w:rPr>
        <w:t>Demande d’autorisation</w:t>
      </w:r>
      <w:r>
        <w:rPr>
          <w:lang w:val="fr-CA"/>
        </w:rPr>
        <w:t xml:space="preserve"> concern</w:t>
      </w:r>
      <w:r w:rsidR="00776F90">
        <w:rPr>
          <w:lang w:val="fr-CA"/>
        </w:rPr>
        <w:t>a</w:t>
      </w:r>
      <w:r>
        <w:rPr>
          <w:lang w:val="fr-CA"/>
        </w:rPr>
        <w:t xml:space="preserve">nt </w:t>
      </w:r>
      <w:r w:rsidRPr="008469D4" w:rsidR="007A1C2F">
        <w:rPr>
          <w:lang w:val="fr-CA"/>
        </w:rPr>
        <w:t>la nullité de clauses</w:t>
      </w:r>
      <w:r>
        <w:rPr>
          <w:lang w:val="fr-CA"/>
        </w:rPr>
        <w:t>, la restitution de prestations et la réduction d’obligations</w:t>
      </w:r>
      <w:r w:rsidR="00776F90">
        <w:rPr>
          <w:lang w:val="fr-CA"/>
        </w:rPr>
        <w:t xml:space="preserve"> visent</w:t>
      </w:r>
      <w:r w:rsidRPr="008469D4" w:rsidR="007A1C2F">
        <w:rPr>
          <w:lang w:val="fr-CA"/>
        </w:rPr>
        <w:t xml:space="preserve"> des </w:t>
      </w:r>
      <w:r w:rsidRPr="008469D4" w:rsidR="007E1D61">
        <w:rPr>
          <w:lang w:val="fr-CA"/>
        </w:rPr>
        <w:t>remède</w:t>
      </w:r>
      <w:r w:rsidRPr="008469D4" w:rsidR="007A1C2F">
        <w:rPr>
          <w:lang w:val="fr-CA"/>
        </w:rPr>
        <w:t>s</w:t>
      </w:r>
      <w:r w:rsidRPr="008469D4" w:rsidR="007E1D61">
        <w:rPr>
          <w:lang w:val="fr-CA"/>
        </w:rPr>
        <w:t xml:space="preserve"> de nature contractuelle</w:t>
      </w:r>
      <w:r>
        <w:rPr>
          <w:lang w:val="fr-CA"/>
        </w:rPr>
        <w:t xml:space="preserve">, alors que </w:t>
      </w:r>
      <w:r w:rsidRPr="008469D4" w:rsidR="007E1D61">
        <w:rPr>
          <w:lang w:val="fr-CA"/>
        </w:rPr>
        <w:t xml:space="preserve">la demanderesse </w:t>
      </w:r>
      <w:r>
        <w:rPr>
          <w:lang w:val="fr-CA"/>
        </w:rPr>
        <w:t>prétend exercer un recours en responsabilité civile extracontractuelle</w:t>
      </w:r>
      <w:r w:rsidRPr="008469D4" w:rsidR="007E1D61">
        <w:rPr>
          <w:lang w:val="fr-CA"/>
        </w:rPr>
        <w:t xml:space="preserve">. </w:t>
      </w:r>
      <w:r>
        <w:rPr>
          <w:lang w:val="fr-CA"/>
        </w:rPr>
        <w:t>Il</w:t>
      </w:r>
      <w:r w:rsidR="00776F90">
        <w:rPr>
          <w:lang w:val="fr-CA"/>
        </w:rPr>
        <w:t xml:space="preserve"> ne convient donc pas que le juge chargé d’entendre l’action collective à son mérite se prononce sur ces questions</w:t>
      </w:r>
      <w:r>
        <w:rPr>
          <w:lang w:val="fr-CA"/>
        </w:rPr>
        <w:t>, qui ne présentent aucune apparence de droit.</w:t>
      </w:r>
    </w:p>
    <w:p w:rsidR="00553DC2" w:rsidRPr="00C46DAC" w:rsidP="00AA55E1" w14:paraId="59557036" w14:textId="77777777">
      <w:pPr>
        <w:pStyle w:val="Heading1"/>
        <w:spacing w:before="120" w:after="120"/>
        <w:rPr>
          <w:lang w:val="fr-CA"/>
        </w:rPr>
      </w:pPr>
      <w:bookmarkStart w:id="3" w:name="_Toc58250324"/>
      <w:r w:rsidRPr="00C46DAC">
        <w:rPr>
          <w:lang w:val="fr-CA"/>
        </w:rPr>
        <w:t>CONCLUSION</w:t>
      </w:r>
      <w:bookmarkEnd w:id="3"/>
    </w:p>
    <w:p w:rsidR="00DB2410" w:rsidP="00AA55E1" w14:paraId="0319B45F" w14:textId="345E679F">
      <w:pPr>
        <w:pStyle w:val="Paragrdouble"/>
        <w:spacing w:line="240" w:lineRule="auto"/>
        <w:rPr>
          <w:lang w:val="fr-CA"/>
        </w:rPr>
      </w:pPr>
      <w:r>
        <w:rPr>
          <w:lang w:val="fr-CA"/>
        </w:rPr>
        <w:t xml:space="preserve">La demanderesse établit qu’elle a une cause défendable à faire valoir contre les défenderesses en lien avec le caractère lésionnaire du supplément de prix </w:t>
      </w:r>
      <w:r>
        <w:rPr>
          <w:lang w:val="fr-CA"/>
        </w:rPr>
        <w:t xml:space="preserve">qu’elles ont fixé et que les restaurants exploités sous leur bannière ont exigé </w:t>
      </w:r>
      <w:r>
        <w:rPr>
          <w:lang w:val="fr-CA"/>
        </w:rPr>
        <w:t xml:space="preserve">pour </w:t>
      </w:r>
      <w:r>
        <w:rPr>
          <w:lang w:val="fr-CA"/>
        </w:rPr>
        <w:t xml:space="preserve">remplacer le </w:t>
      </w:r>
      <w:r>
        <w:rPr>
          <w:lang w:val="fr-CA"/>
        </w:rPr>
        <w:t xml:space="preserve">lait de vache par des laits végétaux dans les breuvages </w:t>
      </w:r>
      <w:r>
        <w:rPr>
          <w:lang w:val="fr-CA"/>
        </w:rPr>
        <w:t>vendus</w:t>
      </w:r>
      <w:r w:rsidR="006B01FB">
        <w:rPr>
          <w:lang w:val="fr-CA"/>
        </w:rPr>
        <w:t xml:space="preserve"> aux membres putatifs</w:t>
      </w:r>
      <w:r>
        <w:rPr>
          <w:lang w:val="fr-CA"/>
        </w:rPr>
        <w:t xml:space="preserve">. </w:t>
      </w:r>
    </w:p>
    <w:p w:rsidR="00553DC2" w:rsidP="00B935AD" w14:paraId="3DBEB8D6" w14:textId="59D3AC65">
      <w:pPr>
        <w:pStyle w:val="Paragrdouble"/>
        <w:spacing w:line="240" w:lineRule="auto"/>
        <w:rPr>
          <w:lang w:val="fr-CA"/>
        </w:rPr>
      </w:pPr>
      <w:r>
        <w:rPr>
          <w:lang w:val="fr-CA"/>
        </w:rPr>
        <w:t xml:space="preserve">En effet, les allégations et la preuve au dossier permettent de soutenir, </w:t>
      </w:r>
      <w:r>
        <w:rPr>
          <w:i/>
          <w:iCs/>
          <w:lang w:val="fr-CA"/>
        </w:rPr>
        <w:t>prima facie</w:t>
      </w:r>
      <w:r w:rsidRPr="001D6F5B" w:rsidR="006B01FB">
        <w:rPr>
          <w:lang w:val="fr-CA"/>
        </w:rPr>
        <w:t> :</w:t>
      </w:r>
      <w:r w:rsidR="006B01FB">
        <w:rPr>
          <w:lang w:val="fr-CA"/>
        </w:rPr>
        <w:t xml:space="preserve"> </w:t>
      </w:r>
      <w:r w:rsidRPr="007E1D61" w:rsidR="001F0F9B">
        <w:rPr>
          <w:lang w:val="fr-CA"/>
        </w:rPr>
        <w:t>(1)</w:t>
      </w:r>
      <w:r w:rsidR="007E1D61">
        <w:rPr>
          <w:lang w:val="fr-CA"/>
        </w:rPr>
        <w:t> </w:t>
      </w:r>
      <w:r w:rsidR="006B01FB">
        <w:rPr>
          <w:lang w:val="fr-CA"/>
        </w:rPr>
        <w:t>qu’</w:t>
      </w:r>
      <w:r w:rsidRPr="007E1D61" w:rsidR="001F0F9B">
        <w:rPr>
          <w:lang w:val="fr-CA"/>
        </w:rPr>
        <w:t>il</w:t>
      </w:r>
      <w:r w:rsidRPr="007E1D61" w:rsidR="00DB2410">
        <w:rPr>
          <w:lang w:val="fr-CA"/>
        </w:rPr>
        <w:t xml:space="preserve"> existe une disproportion entre le supplément de prix facturé </w:t>
      </w:r>
      <w:r w:rsidRPr="007E1D61" w:rsidR="001F0F9B">
        <w:rPr>
          <w:lang w:val="fr-CA"/>
        </w:rPr>
        <w:t xml:space="preserve">dans les restaurants des défenderesses </w:t>
      </w:r>
      <w:r w:rsidRPr="007E1D61" w:rsidR="00DB2410">
        <w:rPr>
          <w:lang w:val="fr-CA"/>
        </w:rPr>
        <w:t xml:space="preserve">et le coût encouru pour la substitution du lait de vache par un </w:t>
      </w:r>
      <w:r w:rsidR="008469D4">
        <w:rPr>
          <w:lang w:val="fr-CA"/>
        </w:rPr>
        <w:t>lait végétal</w:t>
      </w:r>
      <w:r w:rsidRPr="007E1D61" w:rsidR="001F0F9B">
        <w:rPr>
          <w:lang w:val="fr-CA"/>
        </w:rPr>
        <w:t>, selon les déclarations sous serment produit</w:t>
      </w:r>
      <w:r w:rsidR="00DD2CAA">
        <w:rPr>
          <w:lang w:val="fr-CA"/>
        </w:rPr>
        <w:t>e</w:t>
      </w:r>
      <w:r w:rsidRPr="007E1D61" w:rsidR="001F0F9B">
        <w:rPr>
          <w:lang w:val="fr-CA"/>
        </w:rPr>
        <w:t>s en preuve;</w:t>
      </w:r>
      <w:r w:rsidRPr="007E1D61" w:rsidR="00DB2410">
        <w:rPr>
          <w:lang w:val="fr-CA"/>
        </w:rPr>
        <w:t xml:space="preserve"> </w:t>
      </w:r>
      <w:r w:rsidRPr="007E1D61" w:rsidR="001F0F9B">
        <w:rPr>
          <w:lang w:val="fr-CA"/>
        </w:rPr>
        <w:t xml:space="preserve">(2) </w:t>
      </w:r>
      <w:r w:rsidR="006B01FB">
        <w:rPr>
          <w:lang w:val="fr-CA"/>
        </w:rPr>
        <w:t xml:space="preserve">que </w:t>
      </w:r>
      <w:r w:rsidRPr="007E1D61" w:rsidR="00DB2410">
        <w:rPr>
          <w:lang w:val="fr-CA"/>
        </w:rPr>
        <w:t xml:space="preserve">cette disproportion </w:t>
      </w:r>
      <w:r>
        <w:rPr>
          <w:lang w:val="fr-CA"/>
        </w:rPr>
        <w:t xml:space="preserve">pourrait être </w:t>
      </w:r>
      <w:r w:rsidRPr="007E1D61" w:rsidR="00DB2410">
        <w:rPr>
          <w:lang w:val="fr-CA"/>
        </w:rPr>
        <w:t xml:space="preserve">suffisamment importante pour </w:t>
      </w:r>
      <w:r w:rsidRPr="007E1D61" w:rsidR="001F0F9B">
        <w:rPr>
          <w:lang w:val="fr-CA"/>
        </w:rPr>
        <w:t>être qualifiée de lésionnaire au sens de l’article 8 L.p.c</w:t>
      </w:r>
      <w:r w:rsidRPr="007E1D61" w:rsidR="00DB2410">
        <w:rPr>
          <w:lang w:val="fr-CA"/>
        </w:rPr>
        <w:t>.</w:t>
      </w:r>
      <w:r w:rsidRPr="007E1D61" w:rsidR="001F0F9B">
        <w:rPr>
          <w:lang w:val="fr-CA"/>
        </w:rPr>
        <w:t xml:space="preserve">; </w:t>
      </w:r>
      <w:r>
        <w:rPr>
          <w:lang w:val="fr-CA"/>
        </w:rPr>
        <w:t xml:space="preserve">et </w:t>
      </w:r>
      <w:r w:rsidRPr="007E1D61" w:rsidR="001F0F9B">
        <w:rPr>
          <w:lang w:val="fr-CA"/>
        </w:rPr>
        <w:t xml:space="preserve">(3) </w:t>
      </w:r>
      <w:r w:rsidR="006B01FB">
        <w:rPr>
          <w:lang w:val="fr-CA"/>
        </w:rPr>
        <w:t xml:space="preserve">que </w:t>
      </w:r>
      <w:r w:rsidRPr="007E1D61" w:rsidR="001F0F9B">
        <w:rPr>
          <w:lang w:val="fr-CA"/>
        </w:rPr>
        <w:t>les défenderesses</w:t>
      </w:r>
      <w:r w:rsidRPr="007E1D61" w:rsidR="00C400AA">
        <w:rPr>
          <w:lang w:val="fr-CA"/>
        </w:rPr>
        <w:t xml:space="preserve"> commettent une faute et engage</w:t>
      </w:r>
      <w:r w:rsidR="006B01FB">
        <w:rPr>
          <w:lang w:val="fr-CA"/>
        </w:rPr>
        <w:t>nt</w:t>
      </w:r>
      <w:r w:rsidRPr="007E1D61" w:rsidR="00C400AA">
        <w:rPr>
          <w:lang w:val="fr-CA"/>
        </w:rPr>
        <w:t xml:space="preserve"> leur responsabilité civile extracontractuelle en incitant leurs franchisés à exiger un supplément de prix lésionnaire.</w:t>
      </w:r>
      <w:r>
        <w:rPr>
          <w:lang w:val="fr-CA"/>
        </w:rPr>
        <w:t xml:space="preserve"> </w:t>
      </w:r>
    </w:p>
    <w:p w:rsidR="009C7A0B" w:rsidRPr="009C7A0B" w:rsidP="009C7A0B" w14:paraId="7D6FA137" w14:textId="12E896CE">
      <w:pPr>
        <w:pStyle w:val="Paragrdouble"/>
        <w:spacing w:line="240" w:lineRule="auto"/>
        <w:rPr>
          <w:lang w:val="fr-CA"/>
        </w:rPr>
      </w:pPr>
      <w:r w:rsidRPr="007E1D61">
        <w:rPr>
          <w:lang w:val="fr-CA"/>
        </w:rPr>
        <w:t>Il pourrait s’avérer difficile d’établir le caractère lésionnaire du supplément de prix au mérite de l’action collective. Ceci est particulièrement vrai en ce qui concerne Second Cup et Tim Hortons, qui facturent un peu moins du double de leur prix coûtant, selon la preuve qu’elles ont administré</w:t>
      </w:r>
      <w:r w:rsidR="008469D4">
        <w:rPr>
          <w:lang w:val="fr-CA"/>
        </w:rPr>
        <w:t>e</w:t>
      </w:r>
      <w:r w:rsidRPr="007E1D61">
        <w:rPr>
          <w:lang w:val="fr-CA"/>
        </w:rPr>
        <w:t xml:space="preserve"> à ce stade. Toutefois, le seuil d’autorisation est bas. Le Tribunal n’a pas à s’interroger sur les chances de succès de l’action collective.</w:t>
      </w:r>
      <w:r>
        <w:rPr>
          <w:lang w:val="fr-CA"/>
        </w:rPr>
        <w:t xml:space="preserve"> </w:t>
      </w:r>
      <w:r w:rsidRPr="007E1D61">
        <w:rPr>
          <w:lang w:val="fr-CA"/>
        </w:rPr>
        <w:t xml:space="preserve">Il suffit </w:t>
      </w:r>
      <w:r w:rsidR="006B01FB">
        <w:rPr>
          <w:lang w:val="fr-CA"/>
        </w:rPr>
        <w:t xml:space="preserve">de constater, à ce stade, </w:t>
      </w:r>
      <w:r w:rsidRPr="007E1D61">
        <w:rPr>
          <w:lang w:val="fr-CA"/>
        </w:rPr>
        <w:t xml:space="preserve">que la cause d’action mise de l’avant </w:t>
      </w:r>
      <w:r w:rsidR="006B01FB">
        <w:rPr>
          <w:lang w:val="fr-CA"/>
        </w:rPr>
        <w:t>par la demanderesse n’est</w:t>
      </w:r>
      <w:r w:rsidRPr="007E1D61">
        <w:rPr>
          <w:lang w:val="fr-CA"/>
        </w:rPr>
        <w:t xml:space="preserve"> pas frivole, manifestement mal fondée ou insoutenable</w:t>
      </w:r>
      <w:r>
        <w:rPr>
          <w:lang w:val="fr-CA"/>
        </w:rPr>
        <w:t>.</w:t>
      </w:r>
    </w:p>
    <w:p w:rsidR="00553DC2" w:rsidRPr="00B367AB" w:rsidP="00AA55E1" w14:paraId="58C5AED3" w14:textId="3908438A">
      <w:pPr>
        <w:pStyle w:val="Heading1"/>
        <w:spacing w:before="120" w:after="120"/>
        <w:rPr>
          <w:u w:val="none"/>
          <w:lang w:val="fr-CA"/>
        </w:rPr>
      </w:pPr>
      <w:bookmarkStart w:id="4" w:name="_Toc58250325"/>
      <w:r w:rsidRPr="00B367AB">
        <w:rPr>
          <w:u w:val="none"/>
          <w:lang w:val="fr-CA"/>
        </w:rPr>
        <w:t>POUR CES MOTIFS, LE TRIBUNAL</w:t>
      </w:r>
      <w:r w:rsidRPr="00B367AB">
        <w:rPr>
          <w:u w:val="none"/>
          <w:lang w:val="fr-CA"/>
        </w:rPr>
        <w:t>:</w:t>
      </w:r>
      <w:bookmarkEnd w:id="4"/>
    </w:p>
    <w:p w:rsidR="00DB2410" w:rsidRPr="008D27AA" w:rsidP="00AA55E1" w14:paraId="53169E95" w14:textId="20468485">
      <w:pPr>
        <w:pStyle w:val="Paragrdouble"/>
        <w:spacing w:line="240" w:lineRule="auto"/>
        <w:rPr>
          <w:lang w:val="fr-CA"/>
        </w:rPr>
      </w:pPr>
      <w:r w:rsidRPr="008D27AA">
        <w:rPr>
          <w:b/>
          <w:bCs/>
          <w:lang w:val="fr-CA"/>
        </w:rPr>
        <w:t xml:space="preserve">AUTORISE </w:t>
      </w:r>
      <w:r w:rsidRPr="008D27AA" w:rsidR="008D27AA">
        <w:rPr>
          <w:lang w:val="fr-CA"/>
        </w:rPr>
        <w:t>l’institution d’une action collective sous la forme d’une demande introductive d’instance en dommages</w:t>
      </w:r>
      <w:r w:rsidR="00E01237">
        <w:rPr>
          <w:lang w:val="fr-CA"/>
        </w:rPr>
        <w:t>-</w:t>
      </w:r>
      <w:r w:rsidRPr="008D27AA" w:rsidR="008D27AA">
        <w:rPr>
          <w:lang w:val="fr-CA"/>
        </w:rPr>
        <w:t>intérêts et en jugement déclaratoire</w:t>
      </w:r>
      <w:r w:rsidR="00003E3D">
        <w:rPr>
          <w:lang w:val="fr-CA"/>
        </w:rPr>
        <w:t>;</w:t>
      </w:r>
    </w:p>
    <w:p w:rsidR="00CF51ED" w:rsidP="00DC6384" w14:paraId="0D7A8A27" w14:textId="45C19DFC">
      <w:pPr>
        <w:pStyle w:val="Paragrdouble"/>
        <w:spacing w:after="360" w:line="240" w:lineRule="auto"/>
        <w:rPr>
          <w:lang w:val="fr-CA"/>
        </w:rPr>
      </w:pPr>
      <w:r w:rsidRPr="008D27AA">
        <w:rPr>
          <w:b/>
          <w:bCs/>
          <w:lang w:val="fr-CA"/>
        </w:rPr>
        <w:t>ATTRIBUE</w:t>
      </w:r>
      <w:r>
        <w:rPr>
          <w:lang w:val="fr-CA"/>
        </w:rPr>
        <w:t xml:space="preserve"> </w:t>
      </w:r>
      <w:r w:rsidRPr="008D27AA">
        <w:rPr>
          <w:lang w:val="fr-CA"/>
        </w:rPr>
        <w:t>à la demanderesse la qualité de représentante des personnes incluses dans le groupe suivant :</w:t>
      </w:r>
    </w:p>
    <w:p w:rsidR="008D27AA" w:rsidRPr="008D27AA" w:rsidP="008D27AA" w14:paraId="5D376CE7" w14:textId="40DC764A">
      <w:pPr>
        <w:pStyle w:val="Quote"/>
      </w:pPr>
      <w:r w:rsidRPr="008D27AA">
        <w:t>« </w:t>
      </w:r>
      <w:r w:rsidRPr="008D27AA">
        <w:rPr>
          <w:b/>
          <w:bCs/>
        </w:rPr>
        <w:t>Groupe Starbucks</w:t>
      </w:r>
      <w:r w:rsidRPr="008D27AA">
        <w:t> »</w:t>
      </w:r>
    </w:p>
    <w:p w:rsidR="008D27AA" w:rsidP="008D27AA" w14:paraId="6580D825" w14:textId="48000295">
      <w:pPr>
        <w:pStyle w:val="Quote"/>
      </w:pPr>
      <w:r w:rsidRPr="008D27AA">
        <w:t>Tous les consommateurs au Québec qui,</w:t>
      </w:r>
      <w:r>
        <w:t xml:space="preserve"> </w:t>
      </w:r>
      <w:r w:rsidRPr="008D27AA">
        <w:t>entre le 30 décembre 2021 et le 7</w:t>
      </w:r>
      <w:r>
        <w:t xml:space="preserve"> </w:t>
      </w:r>
      <w:r w:rsidRPr="008D27AA">
        <w:t xml:space="preserve">novembre 2024, ont </w:t>
      </w:r>
      <w:r>
        <w:t>payé un supplément de prix</w:t>
      </w:r>
      <w:r w:rsidRPr="008D27AA">
        <w:t xml:space="preserve"> pour </w:t>
      </w:r>
      <w:r>
        <w:t xml:space="preserve">remplacer le lait de vache régulier par </w:t>
      </w:r>
      <w:r w:rsidRPr="008D27AA">
        <w:t>un</w:t>
      </w:r>
      <w:r>
        <w:t xml:space="preserve"> substitut laitier</w:t>
      </w:r>
      <w:r w:rsidR="00C400AA">
        <w:t xml:space="preserve"> (lait de soya, d’avoine, d’amande </w:t>
      </w:r>
      <w:r w:rsidR="00003E3D">
        <w:t>ou</w:t>
      </w:r>
      <w:r w:rsidR="00C400AA">
        <w:t xml:space="preserve"> de coco) </w:t>
      </w:r>
      <w:r w:rsidR="00003E3D">
        <w:t>à</w:t>
      </w:r>
      <w:r w:rsidRPr="008D27AA">
        <w:t xml:space="preserve"> l'achat </w:t>
      </w:r>
      <w:r>
        <w:t>d’un breuvage</w:t>
      </w:r>
      <w:r w:rsidRPr="008D27AA">
        <w:t xml:space="preserve"> </w:t>
      </w:r>
      <w:r>
        <w:t xml:space="preserve">dans un restaurant </w:t>
      </w:r>
      <w:r w:rsidRPr="008D27AA">
        <w:t>Starbucks;</w:t>
      </w:r>
    </w:p>
    <w:p w:rsidR="008D27AA" w:rsidRPr="008D27AA" w:rsidP="008D27AA" w14:paraId="4E1A97C6" w14:textId="52A645C3">
      <w:pPr>
        <w:pStyle w:val="Quote"/>
      </w:pPr>
      <w:r>
        <w:t>« </w:t>
      </w:r>
      <w:r w:rsidRPr="008D27AA">
        <w:rPr>
          <w:b/>
          <w:bCs/>
        </w:rPr>
        <w:t>Groupe Second Cup</w:t>
      </w:r>
      <w:r w:rsidRPr="008D27AA">
        <w:t> »</w:t>
      </w:r>
    </w:p>
    <w:p w:rsidR="008D27AA" w:rsidP="008D27AA" w14:paraId="6FE65381" w14:textId="348DC483">
      <w:pPr>
        <w:pStyle w:val="Quote"/>
      </w:pPr>
      <w:r w:rsidRPr="008D27AA">
        <w:t>Tous les consommateurs au Québec qui,</w:t>
      </w:r>
      <w:r>
        <w:t xml:space="preserve"> </w:t>
      </w:r>
      <w:r w:rsidRPr="008D27AA">
        <w:t>entre le 30 décembre 2021 et le 27 février</w:t>
      </w:r>
      <w:r>
        <w:t xml:space="preserve"> </w:t>
      </w:r>
      <w:r w:rsidRPr="008D27AA">
        <w:t xml:space="preserve">2025 ont </w:t>
      </w:r>
      <w:r>
        <w:t>payé un supplément de prix</w:t>
      </w:r>
      <w:r w:rsidRPr="008D27AA">
        <w:t xml:space="preserve"> pour </w:t>
      </w:r>
      <w:r>
        <w:t>remplacer le lait de vache régulier</w:t>
      </w:r>
      <w:r w:rsidRPr="008D27AA">
        <w:t xml:space="preserve"> </w:t>
      </w:r>
      <w:r>
        <w:t xml:space="preserve">par </w:t>
      </w:r>
      <w:r w:rsidRPr="008D27AA">
        <w:t xml:space="preserve">un substitut laitier </w:t>
      </w:r>
      <w:r w:rsidR="00C400AA">
        <w:t xml:space="preserve">(lait de soya, d’avoine, d’amande </w:t>
      </w:r>
      <w:r w:rsidR="00003E3D">
        <w:t>ou</w:t>
      </w:r>
      <w:r w:rsidR="00C400AA">
        <w:t xml:space="preserve"> de coco) </w:t>
      </w:r>
      <w:r w:rsidR="00003E3D">
        <w:t>à</w:t>
      </w:r>
      <w:r w:rsidRPr="008D27AA">
        <w:t xml:space="preserve"> l'achat d'un </w:t>
      </w:r>
      <w:r>
        <w:t>breuvage dans un restaurant</w:t>
      </w:r>
      <w:r w:rsidRPr="008D27AA">
        <w:t xml:space="preserve"> Second</w:t>
      </w:r>
      <w:r>
        <w:t xml:space="preserve"> </w:t>
      </w:r>
      <w:r w:rsidRPr="008D27AA">
        <w:t>Cup;</w:t>
      </w:r>
    </w:p>
    <w:p w:rsidR="008D27AA" w:rsidRPr="008D27AA" w:rsidP="008D27AA" w14:paraId="2A499054" w14:textId="0C4D976D">
      <w:pPr>
        <w:pStyle w:val="Quote"/>
      </w:pPr>
      <w:r>
        <w:t>« </w:t>
      </w:r>
      <w:r w:rsidRPr="008D27AA">
        <w:rPr>
          <w:b/>
          <w:bCs/>
        </w:rPr>
        <w:t>Groupe Tim Hortons</w:t>
      </w:r>
      <w:r>
        <w:t> »</w:t>
      </w:r>
    </w:p>
    <w:p w:rsidR="008D27AA" w:rsidP="008D27AA" w14:paraId="4C755880" w14:textId="6F6E74CE">
      <w:pPr>
        <w:pStyle w:val="Quote"/>
      </w:pPr>
      <w:r w:rsidRPr="008D27AA">
        <w:t xml:space="preserve">Tous les consommateurs au </w:t>
      </w:r>
      <w:r>
        <w:t>Québec</w:t>
      </w:r>
      <w:r w:rsidRPr="008D27AA">
        <w:t xml:space="preserve"> qui,</w:t>
      </w:r>
      <w:r>
        <w:t xml:space="preserve"> </w:t>
      </w:r>
      <w:r w:rsidRPr="008D27AA">
        <w:t>entre le 30 décembre 2021 et le 2 janvier</w:t>
      </w:r>
      <w:r>
        <w:t xml:space="preserve"> </w:t>
      </w:r>
      <w:r w:rsidRPr="008D27AA">
        <w:t xml:space="preserve">2025 ont </w:t>
      </w:r>
      <w:r>
        <w:t>payé un supplément de prix</w:t>
      </w:r>
      <w:r w:rsidRPr="008D27AA">
        <w:t xml:space="preserve"> pour </w:t>
      </w:r>
      <w:r>
        <w:t>remplacer le lait de vache régulier</w:t>
      </w:r>
      <w:r w:rsidRPr="008D27AA">
        <w:t xml:space="preserve"> </w:t>
      </w:r>
      <w:r w:rsidR="001F0F9B">
        <w:t xml:space="preserve">par </w:t>
      </w:r>
      <w:r w:rsidRPr="008D27AA">
        <w:t>un substitut laitier</w:t>
      </w:r>
      <w:r w:rsidR="00FA7202">
        <w:t xml:space="preserve"> (lait de soya, d’avoine, d’amande </w:t>
      </w:r>
      <w:r w:rsidR="00003E3D">
        <w:t>ou</w:t>
      </w:r>
      <w:r w:rsidR="00FA7202">
        <w:t xml:space="preserve"> de coco) </w:t>
      </w:r>
      <w:r w:rsidR="00003E3D">
        <w:t>à</w:t>
      </w:r>
      <w:r w:rsidRPr="008D27AA">
        <w:t xml:space="preserve"> l'achat d'un</w:t>
      </w:r>
      <w:r w:rsidR="001F0F9B">
        <w:t xml:space="preserve"> breuvage dans un restaurant </w:t>
      </w:r>
      <w:r w:rsidRPr="008D27AA">
        <w:t>Tim</w:t>
      </w:r>
      <w:r>
        <w:t xml:space="preserve"> </w:t>
      </w:r>
      <w:r w:rsidRPr="008D27AA">
        <w:t>Hortons;</w:t>
      </w:r>
    </w:p>
    <w:p w:rsidR="007E1D61" w:rsidRPr="007E1D61" w:rsidP="007E1D61" w14:paraId="6E5B7661" w14:textId="239686B6">
      <w:pPr>
        <w:pStyle w:val="Quote"/>
      </w:pPr>
      <w:r>
        <w:t>Collectivement le « </w:t>
      </w:r>
      <w:r>
        <w:rPr>
          <w:b/>
          <w:bCs/>
        </w:rPr>
        <w:t>Groupe</w:t>
      </w:r>
      <w:r>
        <w:t> »</w:t>
      </w:r>
    </w:p>
    <w:p w:rsidR="008D27AA" w:rsidP="008D27AA" w14:paraId="2D18D1C3" w14:textId="7D276893">
      <w:pPr>
        <w:pStyle w:val="Paragrdouble"/>
        <w:spacing w:line="240" w:lineRule="auto"/>
        <w:rPr>
          <w:lang w:val="fr-CA"/>
        </w:rPr>
      </w:pPr>
      <w:r w:rsidRPr="008D27AA">
        <w:rPr>
          <w:b/>
          <w:bCs/>
          <w:lang w:val="fr-CA"/>
        </w:rPr>
        <w:t>IDENTIFIE</w:t>
      </w:r>
      <w:r>
        <w:rPr>
          <w:lang w:val="fr-CA"/>
        </w:rPr>
        <w:t xml:space="preserve"> </w:t>
      </w:r>
      <w:r w:rsidRPr="008D27AA">
        <w:rPr>
          <w:lang w:val="fr-CA"/>
        </w:rPr>
        <w:t>les principales questions de faits et de droit à traiter collectivement comme suit :</w:t>
      </w:r>
    </w:p>
    <w:p w:rsidR="00003E3D" w:rsidP="007D0AA2" w14:paraId="7E792BFB" w14:textId="77777777">
      <w:pPr>
        <w:pStyle w:val="Paragrdouble"/>
        <w:numPr>
          <w:ilvl w:val="0"/>
          <w:numId w:val="6"/>
        </w:numPr>
        <w:spacing w:line="240" w:lineRule="auto"/>
        <w:rPr>
          <w:lang w:val="fr-CA"/>
        </w:rPr>
      </w:pPr>
      <w:r w:rsidRPr="00871E54">
        <w:rPr>
          <w:lang w:val="fr-CA"/>
        </w:rPr>
        <w:t xml:space="preserve">Existe-t-il une disproportion entre le supplément de prix exigé des membres du Groupe pour remplacer le lait de vache régulier par </w:t>
      </w:r>
      <w:r w:rsidRPr="008D27AA">
        <w:rPr>
          <w:lang w:val="fr-CA"/>
        </w:rPr>
        <w:t>un substitut laitier</w:t>
      </w:r>
      <w:r w:rsidRPr="00871E54">
        <w:rPr>
          <w:lang w:val="fr-CA"/>
        </w:rPr>
        <w:t xml:space="preserve"> et la valeur de ce substitut, lorsque l’on tient compte du coût du lait de vache déjà inclus dans le prix du breuvage</w:t>
      </w:r>
      <w:r>
        <w:rPr>
          <w:lang w:val="fr-CA"/>
        </w:rPr>
        <w:t>?</w:t>
      </w:r>
    </w:p>
    <w:p w:rsidR="008D27AA" w:rsidRPr="00871E54" w:rsidP="007D0AA2" w14:paraId="1EE23093" w14:textId="7D3F7606">
      <w:pPr>
        <w:pStyle w:val="Paragrdouble"/>
        <w:numPr>
          <w:ilvl w:val="0"/>
          <w:numId w:val="6"/>
        </w:numPr>
        <w:spacing w:line="240" w:lineRule="auto"/>
        <w:rPr>
          <w:lang w:val="fr-CA"/>
        </w:rPr>
      </w:pPr>
      <w:r>
        <w:rPr>
          <w:lang w:val="fr-CA"/>
        </w:rPr>
        <w:t>Le</w:t>
      </w:r>
      <w:r w:rsidRPr="00871E54" w:rsidR="00871E54">
        <w:rPr>
          <w:lang w:val="fr-CA"/>
        </w:rPr>
        <w:t xml:space="preserve"> cas échéant, </w:t>
      </w:r>
      <w:r w:rsidR="00871E54">
        <w:rPr>
          <w:lang w:val="fr-CA"/>
        </w:rPr>
        <w:t>e</w:t>
      </w:r>
      <w:r w:rsidRPr="00871E54" w:rsidR="00FA7202">
        <w:rPr>
          <w:lang w:val="fr-CA"/>
        </w:rPr>
        <w:t xml:space="preserve">st-ce que cette disproportion </w:t>
      </w:r>
      <w:r w:rsidRPr="00871E54" w:rsidR="009C75DA">
        <w:rPr>
          <w:lang w:val="fr-CA"/>
        </w:rPr>
        <w:t>est</w:t>
      </w:r>
      <w:r w:rsidRPr="00871E54" w:rsidR="00FA7202">
        <w:rPr>
          <w:lang w:val="fr-CA"/>
        </w:rPr>
        <w:t xml:space="preserve"> tellement considérable qu’elle </w:t>
      </w:r>
      <w:r w:rsidRPr="00871E54" w:rsidR="009C75DA">
        <w:rPr>
          <w:lang w:val="fr-CA"/>
        </w:rPr>
        <w:t>constitue une lésion objective au sens de l’article 8 L.p.c.?</w:t>
      </w:r>
    </w:p>
    <w:p w:rsidR="009C75DA" w:rsidP="007D0AA2" w14:paraId="52656A80" w14:textId="6BBF7C43">
      <w:pPr>
        <w:pStyle w:val="Paragrdouble"/>
        <w:numPr>
          <w:ilvl w:val="0"/>
          <w:numId w:val="6"/>
        </w:numPr>
        <w:spacing w:line="240" w:lineRule="auto"/>
        <w:rPr>
          <w:lang w:val="fr-CA"/>
        </w:rPr>
      </w:pPr>
      <w:r>
        <w:rPr>
          <w:lang w:val="fr-CA"/>
        </w:rPr>
        <w:t>L</w:t>
      </w:r>
      <w:r>
        <w:rPr>
          <w:lang w:val="fr-CA"/>
        </w:rPr>
        <w:t>e supplément de prix cause</w:t>
      </w:r>
      <w:r>
        <w:rPr>
          <w:lang w:val="fr-CA"/>
        </w:rPr>
        <w:t>-t-il</w:t>
      </w:r>
      <w:r>
        <w:rPr>
          <w:lang w:val="fr-CA"/>
        </w:rPr>
        <w:t xml:space="preserve"> </w:t>
      </w:r>
      <w:r w:rsidRPr="009C75DA">
        <w:rPr>
          <w:lang w:val="fr-CA"/>
        </w:rPr>
        <w:t xml:space="preserve">un préjudice excessif et déraisonnable aux consommateurs, de sorte que les clauses contractuelles permettant de facturer </w:t>
      </w:r>
      <w:r w:rsidR="007E1D61">
        <w:rPr>
          <w:lang w:val="fr-CA"/>
        </w:rPr>
        <w:t>un tel supplément de prix</w:t>
      </w:r>
      <w:r w:rsidRPr="009C75DA">
        <w:rPr>
          <w:lang w:val="fr-CA"/>
        </w:rPr>
        <w:t xml:space="preserve"> sont abusives au sens</w:t>
      </w:r>
      <w:r>
        <w:rPr>
          <w:lang w:val="fr-CA"/>
        </w:rPr>
        <w:t xml:space="preserve"> de l’article 1437 C.c.Q.?</w:t>
      </w:r>
    </w:p>
    <w:p w:rsidR="009C75DA" w:rsidP="007D0AA2" w14:paraId="4AA5475F" w14:textId="5D0E5CEF">
      <w:pPr>
        <w:pStyle w:val="Paragrdouble"/>
        <w:numPr>
          <w:ilvl w:val="0"/>
          <w:numId w:val="6"/>
        </w:numPr>
        <w:spacing w:line="240" w:lineRule="auto"/>
        <w:rPr>
          <w:lang w:val="fr-CA"/>
        </w:rPr>
      </w:pPr>
      <w:r>
        <w:rPr>
          <w:lang w:val="fr-CA"/>
        </w:rPr>
        <w:t>L</w:t>
      </w:r>
      <w:r>
        <w:rPr>
          <w:lang w:val="fr-CA"/>
        </w:rPr>
        <w:t>e</w:t>
      </w:r>
      <w:r w:rsidR="00356897">
        <w:rPr>
          <w:lang w:val="fr-CA"/>
        </w:rPr>
        <w:t xml:space="preserve"> cas échéant, le</w:t>
      </w:r>
      <w:r>
        <w:rPr>
          <w:lang w:val="fr-CA"/>
        </w:rPr>
        <w:t>s défenderesses, à titre de franchiseurs, ont</w:t>
      </w:r>
      <w:r>
        <w:rPr>
          <w:lang w:val="fr-CA"/>
        </w:rPr>
        <w:t>-elles</w:t>
      </w:r>
      <w:r>
        <w:rPr>
          <w:lang w:val="fr-CA"/>
        </w:rPr>
        <w:t xml:space="preserve"> commis une faute extracontractuelle envers les membres du groupe en fixant le supplément de prix exigé pour un substitut laitier dans les restaurants opérés sous leur bannière?</w:t>
      </w:r>
    </w:p>
    <w:p w:rsidR="00A81C9F" w:rsidP="007D0AA2" w14:paraId="69202155" w14:textId="2CAEFE07">
      <w:pPr>
        <w:pStyle w:val="Paragrdouble"/>
        <w:numPr>
          <w:ilvl w:val="0"/>
          <w:numId w:val="6"/>
        </w:numPr>
        <w:spacing w:line="240" w:lineRule="auto"/>
        <w:rPr>
          <w:lang w:val="fr-CA"/>
        </w:rPr>
      </w:pPr>
      <w:r>
        <w:rPr>
          <w:lang w:val="fr-CA"/>
        </w:rPr>
        <w:t xml:space="preserve">Le cas échéant, </w:t>
      </w:r>
      <w:r>
        <w:rPr>
          <w:lang w:val="fr-CA"/>
        </w:rPr>
        <w:t>les membres du Groupe sont</w:t>
      </w:r>
      <w:r>
        <w:rPr>
          <w:lang w:val="fr-CA"/>
        </w:rPr>
        <w:t xml:space="preserve">-ils </w:t>
      </w:r>
      <w:r>
        <w:rPr>
          <w:lang w:val="fr-CA"/>
        </w:rPr>
        <w:t>en droit d’obtenir des dommages</w:t>
      </w:r>
      <w:r w:rsidR="00DD2CAA">
        <w:rPr>
          <w:lang w:val="fr-CA"/>
        </w:rPr>
        <w:t>-</w:t>
      </w:r>
      <w:r>
        <w:rPr>
          <w:lang w:val="fr-CA"/>
        </w:rPr>
        <w:t xml:space="preserve">intérêts afin de les compenser du préjudice </w:t>
      </w:r>
      <w:r>
        <w:rPr>
          <w:lang w:val="fr-CA"/>
        </w:rPr>
        <w:t>causé</w:t>
      </w:r>
      <w:r>
        <w:rPr>
          <w:lang w:val="fr-CA"/>
        </w:rPr>
        <w:t xml:space="preserve"> </w:t>
      </w:r>
      <w:r>
        <w:rPr>
          <w:lang w:val="fr-CA"/>
        </w:rPr>
        <w:t xml:space="preserve">par la faute des défenderesses </w:t>
      </w:r>
      <w:r>
        <w:rPr>
          <w:lang w:val="fr-CA"/>
        </w:rPr>
        <w:t>et si oui, quel en est le montant?</w:t>
      </w:r>
    </w:p>
    <w:p w:rsidR="008D27AA" w:rsidP="008D27AA" w14:paraId="7EA91CA9" w14:textId="36FD5045">
      <w:pPr>
        <w:pStyle w:val="Paragrdouble"/>
        <w:spacing w:line="240" w:lineRule="auto"/>
        <w:rPr>
          <w:lang w:val="fr-CA"/>
        </w:rPr>
      </w:pPr>
      <w:r w:rsidRPr="00A81C9F">
        <w:rPr>
          <w:b/>
          <w:bCs/>
          <w:lang w:val="fr-CA"/>
        </w:rPr>
        <w:t>IDENTIFIE</w:t>
      </w:r>
      <w:r>
        <w:rPr>
          <w:lang w:val="fr-CA"/>
        </w:rPr>
        <w:t xml:space="preserve"> les conclusions recherchées par l’action collective à être instituée comme étant les suivantes :</w:t>
      </w:r>
    </w:p>
    <w:p w:rsidR="00A81C9F" w:rsidP="00871E54" w14:paraId="433D06A3" w14:textId="2F494544">
      <w:pPr>
        <w:pStyle w:val="Paragrdouble"/>
        <w:numPr>
          <w:ilvl w:val="0"/>
          <w:numId w:val="0"/>
        </w:numPr>
        <w:spacing w:line="240" w:lineRule="auto"/>
        <w:ind w:left="731"/>
        <w:rPr>
          <w:lang w:val="fr-CA"/>
        </w:rPr>
      </w:pPr>
      <w:r>
        <w:rPr>
          <w:b/>
          <w:bCs/>
          <w:lang w:val="fr-CA"/>
        </w:rPr>
        <w:t>ACCUEILLIR</w:t>
      </w:r>
      <w:r>
        <w:rPr>
          <w:lang w:val="fr-CA"/>
        </w:rPr>
        <w:t xml:space="preserve"> l’action de la demanderesse contre les défenderesses au nom de tous les membres du Groupe;</w:t>
      </w:r>
    </w:p>
    <w:p w:rsidR="00871E54" w:rsidP="00871E54" w14:paraId="165551EA" w14:textId="4F436AE1">
      <w:pPr>
        <w:pStyle w:val="Paragrdouble"/>
        <w:numPr>
          <w:ilvl w:val="0"/>
          <w:numId w:val="0"/>
        </w:numPr>
        <w:spacing w:line="240" w:lineRule="auto"/>
        <w:ind w:left="731"/>
        <w:rPr>
          <w:lang w:val="fr-CA"/>
        </w:rPr>
      </w:pPr>
      <w:r w:rsidRPr="00871E54">
        <w:rPr>
          <w:b/>
          <w:bCs/>
          <w:lang w:val="fr-CA"/>
        </w:rPr>
        <w:t>DÉCLARER</w:t>
      </w:r>
      <w:r w:rsidRPr="00871E54">
        <w:rPr>
          <w:lang w:val="fr-CA"/>
        </w:rPr>
        <w:t xml:space="preserve"> que </w:t>
      </w:r>
      <w:r>
        <w:rPr>
          <w:lang w:val="fr-CA"/>
        </w:rPr>
        <w:t xml:space="preserve">le supplément de prix exigé des membres du Groupe pour remplacer </w:t>
      </w:r>
      <w:r w:rsidRPr="00FA7202">
        <w:rPr>
          <w:lang w:val="fr-CA"/>
        </w:rPr>
        <w:t xml:space="preserve">le lait de vache régulier par </w:t>
      </w:r>
      <w:r w:rsidRPr="008D27AA">
        <w:rPr>
          <w:lang w:val="fr-CA"/>
        </w:rPr>
        <w:t>un substitut laitier</w:t>
      </w:r>
      <w:r>
        <w:rPr>
          <w:lang w:val="fr-CA"/>
        </w:rPr>
        <w:t xml:space="preserve"> </w:t>
      </w:r>
      <w:r w:rsidR="00025629">
        <w:rPr>
          <w:lang w:val="fr-CA"/>
        </w:rPr>
        <w:t>dans les restaurants Starbucks, Second Cup et Tim Hortons est objectivement lésionnaire</w:t>
      </w:r>
      <w:r w:rsidRPr="00871E54">
        <w:rPr>
          <w:lang w:val="fr-CA"/>
        </w:rPr>
        <w:t xml:space="preserve"> au sens de l’article 8 de la LPC</w:t>
      </w:r>
      <w:r>
        <w:rPr>
          <w:lang w:val="fr-CA"/>
        </w:rPr>
        <w:t>;</w:t>
      </w:r>
    </w:p>
    <w:p w:rsidR="00871E54" w:rsidP="00871E54" w14:paraId="55CACDC1" w14:textId="33163780">
      <w:pPr>
        <w:pStyle w:val="Paragrdouble"/>
        <w:numPr>
          <w:ilvl w:val="0"/>
          <w:numId w:val="0"/>
        </w:numPr>
        <w:spacing w:line="240" w:lineRule="auto"/>
        <w:ind w:left="731"/>
        <w:rPr>
          <w:lang w:val="fr-CA"/>
        </w:rPr>
      </w:pPr>
      <w:r w:rsidRPr="00871E54">
        <w:rPr>
          <w:b/>
          <w:bCs/>
          <w:lang w:val="fr-CA"/>
        </w:rPr>
        <w:t>DÉCLARER</w:t>
      </w:r>
      <w:r>
        <w:rPr>
          <w:lang w:val="fr-CA"/>
        </w:rPr>
        <w:t xml:space="preserve"> que le supplément de prix exigé des membres du Groupe est</w:t>
      </w:r>
      <w:r w:rsidRPr="00871E54">
        <w:rPr>
          <w:lang w:val="fr-CA"/>
        </w:rPr>
        <w:t xml:space="preserve"> excessivement et déraisonnablement préjudiciable aux consommateurs et qu’il </w:t>
      </w:r>
      <w:r w:rsidR="00025629">
        <w:rPr>
          <w:lang w:val="fr-CA"/>
        </w:rPr>
        <w:t>va</w:t>
      </w:r>
      <w:r>
        <w:rPr>
          <w:lang w:val="fr-CA"/>
        </w:rPr>
        <w:t xml:space="preserve"> à l’encontre de ce qu’exige la</w:t>
      </w:r>
      <w:r w:rsidRPr="00871E54">
        <w:rPr>
          <w:lang w:val="fr-CA"/>
        </w:rPr>
        <w:t xml:space="preserve"> bonne foi au sens de l'article 1437 du C.c.Q.;</w:t>
      </w:r>
    </w:p>
    <w:p w:rsidR="00025629" w:rsidP="00025629" w14:paraId="0B6F0A53" w14:textId="77777777">
      <w:pPr>
        <w:pStyle w:val="Paragrdouble"/>
        <w:numPr>
          <w:ilvl w:val="0"/>
          <w:numId w:val="0"/>
        </w:numPr>
        <w:spacing w:line="240" w:lineRule="auto"/>
        <w:ind w:left="731"/>
        <w:rPr>
          <w:lang w:val="fr-CA"/>
        </w:rPr>
      </w:pPr>
      <w:r w:rsidRPr="00871E54">
        <w:rPr>
          <w:b/>
          <w:bCs/>
          <w:lang w:val="fr-CA"/>
        </w:rPr>
        <w:t>DÉCLARER</w:t>
      </w:r>
      <w:r>
        <w:rPr>
          <w:b/>
          <w:bCs/>
          <w:lang w:val="fr-CA"/>
        </w:rPr>
        <w:t xml:space="preserve"> </w:t>
      </w:r>
      <w:r w:rsidRPr="00871E54">
        <w:rPr>
          <w:lang w:val="fr-CA"/>
        </w:rPr>
        <w:t>les défenderesses responsables des dommages subis par la demanderesse et chacun des membres du Groupe;</w:t>
      </w:r>
    </w:p>
    <w:p w:rsidR="00871E54" w:rsidP="00871E54" w14:paraId="43E91F78" w14:textId="564FCFD6">
      <w:pPr>
        <w:pStyle w:val="Paragrdouble"/>
        <w:numPr>
          <w:ilvl w:val="0"/>
          <w:numId w:val="0"/>
        </w:numPr>
        <w:spacing w:line="240" w:lineRule="auto"/>
        <w:ind w:left="731"/>
        <w:rPr>
          <w:lang w:val="fr-CA"/>
        </w:rPr>
      </w:pPr>
      <w:r w:rsidRPr="0033722E">
        <w:rPr>
          <w:b/>
          <w:bCs/>
          <w:lang w:val="fr-CA"/>
        </w:rPr>
        <w:t>CONDAMNER</w:t>
      </w:r>
      <w:r>
        <w:rPr>
          <w:lang w:val="fr-CA"/>
        </w:rPr>
        <w:t xml:space="preserve"> les défenderesses à payer à la demanderesse et aux membres du Groupe des dommages compensatoires correspondant à la somme </w:t>
      </w:r>
      <w:r w:rsidR="00411FEB">
        <w:rPr>
          <w:lang w:val="fr-CA"/>
        </w:rPr>
        <w:t xml:space="preserve">totale </w:t>
      </w:r>
      <w:r>
        <w:rPr>
          <w:lang w:val="fr-CA"/>
        </w:rPr>
        <w:t>des montants facturés à titre de supplément de prix pour remplacer le lait de vache par un substitut laitier;</w:t>
      </w:r>
    </w:p>
    <w:p w:rsidR="0033722E" w:rsidP="00871E54" w14:paraId="63D4181C" w14:textId="77777777">
      <w:pPr>
        <w:pStyle w:val="Paragrdouble"/>
        <w:numPr>
          <w:ilvl w:val="0"/>
          <w:numId w:val="0"/>
        </w:numPr>
        <w:spacing w:line="240" w:lineRule="auto"/>
        <w:ind w:left="731"/>
        <w:rPr>
          <w:lang w:val="fr-CA"/>
        </w:rPr>
      </w:pPr>
      <w:r>
        <w:rPr>
          <w:b/>
          <w:bCs/>
          <w:lang w:val="fr-CA"/>
        </w:rPr>
        <w:t>ORDONNER</w:t>
      </w:r>
      <w:r>
        <w:rPr>
          <w:lang w:val="fr-CA"/>
        </w:rPr>
        <w:t xml:space="preserve"> le recouvrement collectif des dommages-intérêts dus aux membres du Groupe;</w:t>
      </w:r>
    </w:p>
    <w:p w:rsidR="0033722E" w:rsidP="00871E54" w14:paraId="7A2580AC" w14:textId="49F9177C">
      <w:pPr>
        <w:pStyle w:val="Paragrdouble"/>
        <w:numPr>
          <w:ilvl w:val="0"/>
          <w:numId w:val="0"/>
        </w:numPr>
        <w:spacing w:line="240" w:lineRule="auto"/>
        <w:ind w:left="731"/>
        <w:rPr>
          <w:lang w:val="fr-CA"/>
        </w:rPr>
      </w:pPr>
      <w:r w:rsidRPr="0033722E">
        <w:rPr>
          <w:b/>
          <w:bCs/>
          <w:lang w:val="fr-CA"/>
        </w:rPr>
        <w:t xml:space="preserve">CONDAMNER </w:t>
      </w:r>
      <w:r w:rsidRPr="0033722E">
        <w:rPr>
          <w:lang w:val="fr-CA"/>
        </w:rPr>
        <w:t xml:space="preserve">les défenderesses à payer les </w:t>
      </w:r>
      <w:r>
        <w:rPr>
          <w:lang w:val="fr-CA"/>
        </w:rPr>
        <w:t>intérêts</w:t>
      </w:r>
      <w:r w:rsidR="00025629">
        <w:rPr>
          <w:lang w:val="fr-CA"/>
        </w:rPr>
        <w:t xml:space="preserve"> et</w:t>
      </w:r>
      <w:r>
        <w:rPr>
          <w:lang w:val="fr-CA"/>
        </w:rPr>
        <w:t xml:space="preserve"> l’indemnité additionnelle sur les sommes susmentionnées conformément à la loi à compter de la signification de la demande d’autorisation d’une action collective;</w:t>
      </w:r>
    </w:p>
    <w:p w:rsidR="0033722E" w:rsidRPr="0033722E" w:rsidP="0033722E" w14:paraId="69DC2EDA" w14:textId="77777777">
      <w:pPr>
        <w:pStyle w:val="Paragrdouble"/>
        <w:numPr>
          <w:ilvl w:val="0"/>
          <w:numId w:val="0"/>
        </w:numPr>
        <w:spacing w:line="240" w:lineRule="auto"/>
        <w:ind w:left="731"/>
        <w:rPr>
          <w:lang w:val="fr-CA"/>
        </w:rPr>
      </w:pPr>
      <w:r w:rsidRPr="0033722E">
        <w:rPr>
          <w:b/>
          <w:bCs/>
          <w:lang w:val="fr-CA"/>
        </w:rPr>
        <w:t>ORDONNER</w:t>
      </w:r>
      <w:r w:rsidRPr="0033722E">
        <w:rPr>
          <w:lang w:val="fr-CA"/>
        </w:rPr>
        <w:t xml:space="preserve"> aux défenderesses de déposer au greffe de ce tribunal la totalité des sommes faisant partie du recouvrement collectif, avec intérêts et frais;</w:t>
      </w:r>
    </w:p>
    <w:p w:rsidR="0033722E" w:rsidRPr="0033722E" w:rsidP="0033722E" w14:paraId="3D3696E5" w14:textId="77777777">
      <w:pPr>
        <w:pStyle w:val="Paragrdouble"/>
        <w:numPr>
          <w:ilvl w:val="0"/>
          <w:numId w:val="0"/>
        </w:numPr>
        <w:spacing w:line="240" w:lineRule="auto"/>
        <w:ind w:left="731"/>
        <w:rPr>
          <w:lang w:val="fr-CA"/>
        </w:rPr>
      </w:pPr>
      <w:r w:rsidRPr="0033722E">
        <w:rPr>
          <w:b/>
          <w:bCs/>
          <w:lang w:val="fr-CA"/>
        </w:rPr>
        <w:t>ORDONNER</w:t>
      </w:r>
      <w:r w:rsidRPr="0033722E">
        <w:rPr>
          <w:lang w:val="fr-CA"/>
        </w:rPr>
        <w:t xml:space="preserve"> que les réclamations des membres individuels du Groupe fassent l’objet d’une liquidation collective si la preuve le permet et subsidiairement, d’une liquidation individuelle ;</w:t>
      </w:r>
    </w:p>
    <w:p w:rsidR="0033722E" w:rsidRPr="0033722E" w:rsidP="0033722E" w14:paraId="417751BA" w14:textId="77777777">
      <w:pPr>
        <w:pStyle w:val="Paragrdouble"/>
        <w:numPr>
          <w:ilvl w:val="0"/>
          <w:numId w:val="0"/>
        </w:numPr>
        <w:spacing w:line="240" w:lineRule="auto"/>
        <w:ind w:left="731"/>
        <w:rPr>
          <w:lang w:val="fr-CA"/>
        </w:rPr>
      </w:pPr>
      <w:r w:rsidRPr="0033722E">
        <w:rPr>
          <w:b/>
          <w:bCs/>
          <w:lang w:val="fr-CA"/>
        </w:rPr>
        <w:t>CONDAMNER</w:t>
      </w:r>
      <w:r w:rsidRPr="0033722E">
        <w:rPr>
          <w:lang w:val="fr-CA"/>
        </w:rPr>
        <w:t xml:space="preserve"> les défenderesses à supporter les frais de la présente action à tous les niveaux, y compris les frais de toutes les pièces, les avis, les frais de gestion des réclamations et les frais d’experts, le cas échéant, y compris les frais d’experts nécessaires pour établir le montant des ordonnances de recouvrement collectif;</w:t>
      </w:r>
    </w:p>
    <w:p w:rsidR="000B07B5" w:rsidP="000B3CBE" w14:paraId="1B3CDAE7" w14:textId="1ED7239E">
      <w:pPr>
        <w:pStyle w:val="Paragrdouble"/>
        <w:spacing w:after="1320" w:line="240" w:lineRule="auto"/>
        <w:rPr>
          <w:lang w:val="fr-CA" w:eastAsia="fr-CA"/>
        </w:rPr>
      </w:pPr>
      <w:r w:rsidRPr="000B07B5">
        <w:rPr>
          <w:b/>
          <w:bCs/>
          <w:lang w:val="fr-CA"/>
        </w:rPr>
        <w:t>CONVOQUE</w:t>
      </w:r>
      <w:r>
        <w:rPr>
          <w:lang w:val="fr-CA"/>
        </w:rPr>
        <w:t xml:space="preserve"> </w:t>
      </w:r>
      <w:r w:rsidRPr="000B07B5">
        <w:rPr>
          <w:lang w:val="fr-CA"/>
        </w:rPr>
        <w:t xml:space="preserve">les parties à une audience afin d’entendre leurs représentations </w:t>
      </w:r>
      <w:r w:rsidR="000B3CBE">
        <w:rPr>
          <w:lang w:val="fr-CA"/>
        </w:rPr>
        <w:t xml:space="preserve">concernant la période d’exclusion et </w:t>
      </w:r>
      <w:r w:rsidR="00642AC8">
        <w:rPr>
          <w:lang w:val="fr-CA"/>
        </w:rPr>
        <w:t>le</w:t>
      </w:r>
      <w:r w:rsidRPr="000B07B5">
        <w:rPr>
          <w:lang w:val="fr-CA"/>
        </w:rPr>
        <w:t xml:space="preserve"> contenu et modes de diffusion de l’avis requis, </w:t>
      </w:r>
      <w:r w:rsidR="000B3CBE">
        <w:rPr>
          <w:lang w:val="fr-CA"/>
        </w:rPr>
        <w:t xml:space="preserve">ladite </w:t>
      </w:r>
      <w:r w:rsidRPr="000B07B5">
        <w:rPr>
          <w:lang w:val="fr-CA"/>
        </w:rPr>
        <w:t>audience devant avoir lieu à une date à être déterminée entre les parties et le Tribunal</w:t>
      </w:r>
      <w:r w:rsidR="000B3CBE">
        <w:rPr>
          <w:lang w:val="fr-CA"/>
        </w:rPr>
        <w:t xml:space="preserve">, au plus tard </w:t>
      </w:r>
      <w:r w:rsidRPr="000B07B5" w:rsidR="000B3CBE">
        <w:rPr>
          <w:lang w:val="fr-CA"/>
        </w:rPr>
        <w:t>dans les 60 jours du présent jugement</w:t>
      </w:r>
      <w:r w:rsidRPr="000B07B5">
        <w:rPr>
          <w:lang w:val="fr-CA"/>
        </w:rPr>
        <w:t>;</w:t>
      </w:r>
    </w:p>
    <w:p w:rsidR="000B07B5" w:rsidRPr="000B07B5" w:rsidP="000B07B5" w14:paraId="08A680ED" w14:textId="0C1D42FE">
      <w:pPr>
        <w:pStyle w:val="Paragrdouble"/>
        <w:spacing w:line="240" w:lineRule="auto"/>
        <w:rPr>
          <w:lang w:val="fr-CA"/>
        </w:rPr>
      </w:pPr>
      <w:r w:rsidRPr="000B07B5">
        <w:rPr>
          <w:b/>
          <w:bCs/>
          <w:lang w:val="fr-CA"/>
        </w:rPr>
        <w:t>ORDONNE</w:t>
      </w:r>
      <w:r>
        <w:rPr>
          <w:b/>
          <w:bCs/>
          <w:lang w:val="fr-CA"/>
        </w:rPr>
        <w:t xml:space="preserve"> </w:t>
      </w:r>
      <w:r w:rsidRPr="000B07B5">
        <w:rPr>
          <w:lang w:val="fr-CA"/>
        </w:rPr>
        <w:t>que l’action collective se poursuive dans le district de Montréal;</w:t>
      </w:r>
    </w:p>
    <w:p w:rsidR="000B07B5" w:rsidRPr="000B07B5" w:rsidP="000B07B5" w14:paraId="76ACAFA1" w14:textId="6A0D926A">
      <w:pPr>
        <w:pStyle w:val="Paragrdouble"/>
        <w:spacing w:line="240" w:lineRule="auto"/>
        <w:rPr>
          <w:lang w:val="fr-CA"/>
        </w:rPr>
      </w:pPr>
      <w:r w:rsidRPr="000B07B5">
        <w:rPr>
          <w:b/>
          <w:bCs/>
          <w:lang w:val="fr-CA"/>
        </w:rPr>
        <w:t>LE TOUT</w:t>
      </w:r>
      <w:r w:rsidRPr="000B07B5">
        <w:rPr>
          <w:lang w:val="fr-CA"/>
        </w:rPr>
        <w:t>, avec les frais de justice à suivre le sort de l’instance.</w:t>
      </w:r>
    </w:p>
    <w:p w:rsidR="0033722E" w:rsidP="000B07B5" w14:paraId="61532213" w14:textId="77777777">
      <w:pPr>
        <w:pStyle w:val="Paragrdouble"/>
        <w:numPr>
          <w:ilvl w:val="0"/>
          <w:numId w:val="0"/>
        </w:numPr>
        <w:spacing w:line="240" w:lineRule="auto"/>
        <w:rPr>
          <w:lang w:val="fr-CA"/>
        </w:rPr>
      </w:pPr>
    </w:p>
    <w:p w:rsidR="00B83077" w:rsidRPr="0033722E" w:rsidP="000B07B5" w14:paraId="51459423" w14:textId="77777777">
      <w:pPr>
        <w:pStyle w:val="Paragrdouble"/>
        <w:numPr>
          <w:ilvl w:val="0"/>
          <w:numId w:val="0"/>
        </w:numPr>
        <w:spacing w:line="240" w:lineRule="auto"/>
        <w:rPr>
          <w:lang w:val="fr-CA"/>
        </w:rPr>
      </w:pPr>
    </w:p>
    <w:tbl>
      <w:tblPr>
        <w:tblW w:w="9505" w:type="dxa"/>
        <w:tblLayout w:type="fixed"/>
        <w:tblCellMar>
          <w:left w:w="70" w:type="dxa"/>
          <w:right w:w="70" w:type="dxa"/>
        </w:tblCellMar>
        <w:tblLook w:val="0000"/>
      </w:tblPr>
      <w:tblGrid>
        <w:gridCol w:w="2068"/>
        <w:gridCol w:w="2799"/>
        <w:gridCol w:w="4638"/>
      </w:tblGrid>
      <w:tr w14:paraId="35B30CDD" w14:textId="77777777" w:rsidTr="00955B6E">
        <w:tblPrEx>
          <w:tblW w:w="9505" w:type="dxa"/>
          <w:tblLayout w:type="fixed"/>
          <w:tblLook w:val="0000"/>
        </w:tblPrEx>
        <w:trPr>
          <w:trHeight w:val="576"/>
        </w:trPr>
        <w:tc>
          <w:tcPr>
            <w:tcW w:w="9505" w:type="dxa"/>
            <w:gridSpan w:val="3"/>
          </w:tcPr>
          <w:p w:rsidR="00121A72" w:rsidRPr="008D27AA" w:rsidP="00040446" w14:paraId="3490E522" w14:textId="77777777">
            <w:pPr>
              <w:keepNext/>
              <w:keepLines/>
              <w:rPr>
                <w:lang w:val="fr-CA"/>
              </w:rPr>
            </w:pPr>
          </w:p>
        </w:tc>
      </w:tr>
      <w:tr w14:paraId="6A220CBD" w14:textId="77777777" w:rsidTr="00955B6E">
        <w:tblPrEx>
          <w:tblW w:w="9505" w:type="dxa"/>
          <w:tblLayout w:type="fixed"/>
          <w:tblCellMar>
            <w:left w:w="0" w:type="dxa"/>
            <w:right w:w="0" w:type="dxa"/>
          </w:tblCellMar>
          <w:tblLook w:val="0000"/>
        </w:tblPrEx>
        <w:trPr>
          <w:cantSplit/>
        </w:trPr>
        <w:tc>
          <w:tcPr>
            <w:tcW w:w="4867" w:type="dxa"/>
            <w:gridSpan w:val="2"/>
          </w:tcPr>
          <w:p w:rsidR="00121A72" w:rsidRPr="008D27AA" w:rsidP="00040446" w14:paraId="31014703" w14:textId="77777777">
            <w:pPr>
              <w:rPr>
                <w:lang w:val="fr-CA"/>
              </w:rPr>
            </w:pPr>
          </w:p>
        </w:tc>
        <w:tc>
          <w:tcPr>
            <w:tcW w:w="4638" w:type="dxa"/>
            <w:vAlign w:val="center"/>
          </w:tcPr>
          <w:p w:rsidR="00121A72" w:rsidRPr="00F05D87" w:rsidP="00534479" w14:paraId="190E17EE" w14:textId="77777777">
            <w:pPr>
              <w:pStyle w:val="zSoquijdatSignature3Juge"/>
              <w:jc w:val="center"/>
            </w:pPr>
            <w:r w:rsidRPr="00F05D87">
              <w:t>__________________________________</w:t>
            </w:r>
          </w:p>
          <w:p w:rsidR="00121A72" w:rsidRPr="00534479" w:rsidP="00534479" w14:paraId="4CB8D722" w14:textId="72530382">
            <w:pPr>
              <w:pStyle w:val="zSoquijdatSignature3Juge"/>
              <w:jc w:val="center"/>
            </w:pPr>
            <w:r w:rsidRPr="008211B2">
              <w:rPr>
                <w:caps/>
              </w:rPr>
              <w:t>Catherine Martel, j.S.C.</w:t>
            </w:r>
          </w:p>
        </w:tc>
      </w:tr>
      <w:tr w14:paraId="05369A02" w14:textId="77777777" w:rsidTr="00955B6E">
        <w:tblPrEx>
          <w:tblW w:w="9505" w:type="dxa"/>
          <w:tblLayout w:type="fixed"/>
          <w:tblLook w:val="0000"/>
        </w:tblPrEx>
        <w:tc>
          <w:tcPr>
            <w:tcW w:w="9505" w:type="dxa"/>
            <w:gridSpan w:val="3"/>
          </w:tcPr>
          <w:p w:rsidR="00121A72" w:rsidRPr="00534479" w:rsidP="00040446" w14:paraId="374FA340" w14:textId="77777777"/>
        </w:tc>
      </w:tr>
      <w:tr w14:paraId="284ABE7D" w14:textId="77777777" w:rsidTr="00955B6E">
        <w:tblPrEx>
          <w:tblW w:w="9505" w:type="dxa"/>
          <w:tblLayout w:type="fixed"/>
          <w:tblLook w:val="0000"/>
        </w:tblPrEx>
        <w:trPr>
          <w:cantSplit/>
        </w:trPr>
        <w:tc>
          <w:tcPr>
            <w:tcW w:w="9505" w:type="dxa"/>
            <w:gridSpan w:val="3"/>
          </w:tcPr>
          <w:p w:rsidR="00955B6E" w:rsidRPr="005B031B" w:rsidP="00955B6E" w14:paraId="1ABEE458" w14:textId="4127AFC5">
            <w:pPr>
              <w:pStyle w:val="zSoquijdatNomProcureurDem"/>
            </w:pPr>
            <w:r>
              <w:t>Me</w:t>
            </w:r>
            <w:r w:rsidRPr="008211B2">
              <w:t xml:space="preserve"> </w:t>
            </w:r>
            <w:r w:rsidR="00F05D87">
              <w:t>Joey Zukran</w:t>
            </w:r>
          </w:p>
        </w:tc>
      </w:tr>
      <w:tr w14:paraId="524EC477" w14:textId="77777777" w:rsidTr="00955B6E">
        <w:tblPrEx>
          <w:tblW w:w="9505" w:type="dxa"/>
          <w:tblLayout w:type="fixed"/>
          <w:tblLook w:val="0000"/>
        </w:tblPrEx>
        <w:trPr>
          <w:cantSplit/>
        </w:trPr>
        <w:tc>
          <w:tcPr>
            <w:tcW w:w="9505" w:type="dxa"/>
            <w:gridSpan w:val="3"/>
          </w:tcPr>
          <w:p w:rsidR="00F05D87" w:rsidRPr="008211B2" w:rsidP="00955B6E" w14:paraId="03544103" w14:textId="38A49273">
            <w:pPr>
              <w:pStyle w:val="zSoquijdatNomProcureurDem"/>
            </w:pPr>
            <w:r>
              <w:t>Me</w:t>
            </w:r>
            <w:r>
              <w:t xml:space="preserve"> Léa Bruyère</w:t>
            </w:r>
          </w:p>
        </w:tc>
      </w:tr>
      <w:tr w14:paraId="37D6A11B" w14:textId="77777777" w:rsidTr="00955B6E">
        <w:tblPrEx>
          <w:tblW w:w="9505" w:type="dxa"/>
          <w:tblLayout w:type="fixed"/>
          <w:tblLook w:val="0000"/>
        </w:tblPrEx>
        <w:trPr>
          <w:cantSplit/>
        </w:trPr>
        <w:tc>
          <w:tcPr>
            <w:tcW w:w="9505" w:type="dxa"/>
            <w:gridSpan w:val="3"/>
          </w:tcPr>
          <w:p w:rsidR="00955B6E" w:rsidRPr="005B031B" w:rsidP="00955B6E" w14:paraId="567A95EE" w14:textId="4C6FC4FC">
            <w:pPr>
              <w:pStyle w:val="zSoquijdatCabinetProcureurDem"/>
            </w:pPr>
            <w:r>
              <w:rPr>
                <w:smallCaps/>
              </w:rPr>
              <w:t>lpc avocat inc.</w:t>
            </w:r>
          </w:p>
        </w:tc>
      </w:tr>
      <w:tr w14:paraId="5B720574" w14:textId="77777777" w:rsidTr="00955B6E">
        <w:tblPrEx>
          <w:tblW w:w="9505" w:type="dxa"/>
          <w:tblLayout w:type="fixed"/>
          <w:tblLook w:val="0000"/>
        </w:tblPrEx>
        <w:trPr>
          <w:cantSplit/>
        </w:trPr>
        <w:tc>
          <w:tcPr>
            <w:tcW w:w="9505" w:type="dxa"/>
            <w:gridSpan w:val="3"/>
          </w:tcPr>
          <w:p w:rsidR="00955B6E" w:rsidRPr="005B031B" w:rsidP="00955B6E" w14:paraId="3FEF53E3" w14:textId="045142CC">
            <w:pPr>
              <w:pStyle w:val="zSoquijlblProcureurDem"/>
            </w:pPr>
            <w:r>
              <w:t>Avocats de la demanderesse</w:t>
            </w:r>
          </w:p>
        </w:tc>
      </w:tr>
      <w:tr w14:paraId="280420E6" w14:textId="77777777" w:rsidTr="00955B6E">
        <w:tblPrEx>
          <w:tblW w:w="9505" w:type="dxa"/>
          <w:tblLayout w:type="fixed"/>
          <w:tblLook w:val="0000"/>
        </w:tblPrEx>
        <w:trPr>
          <w:cantSplit/>
        </w:trPr>
        <w:tc>
          <w:tcPr>
            <w:tcW w:w="9505" w:type="dxa"/>
            <w:gridSpan w:val="3"/>
          </w:tcPr>
          <w:p w:rsidR="00955B6E" w:rsidRPr="005B031B" w:rsidP="00955B6E" w14:paraId="404812C0" w14:textId="77777777"/>
        </w:tc>
      </w:tr>
      <w:tr w14:paraId="568EB41D" w14:textId="77777777" w:rsidTr="00955B6E">
        <w:tblPrEx>
          <w:tblW w:w="9505" w:type="dxa"/>
          <w:tblLayout w:type="fixed"/>
          <w:tblLook w:val="0000"/>
        </w:tblPrEx>
        <w:trPr>
          <w:cantSplit/>
        </w:trPr>
        <w:tc>
          <w:tcPr>
            <w:tcW w:w="9505" w:type="dxa"/>
            <w:gridSpan w:val="3"/>
          </w:tcPr>
          <w:p w:rsidR="00955B6E" w:rsidRPr="005B031B" w:rsidP="00955B6E" w14:paraId="416EE688" w14:textId="3901852D">
            <w:pPr>
              <w:pStyle w:val="zSoquijdatNomProcureurDef"/>
            </w:pPr>
            <w:r>
              <w:t>Me</w:t>
            </w:r>
            <w:r w:rsidRPr="008211B2">
              <w:t xml:space="preserve"> </w:t>
            </w:r>
            <w:r w:rsidR="004720A0">
              <w:t>Alexandre Fallon</w:t>
            </w:r>
          </w:p>
        </w:tc>
      </w:tr>
      <w:tr w14:paraId="2209902A" w14:textId="77777777" w:rsidTr="00955B6E">
        <w:tblPrEx>
          <w:tblW w:w="9505" w:type="dxa"/>
          <w:tblLayout w:type="fixed"/>
          <w:tblLook w:val="0000"/>
        </w:tblPrEx>
        <w:trPr>
          <w:cantSplit/>
        </w:trPr>
        <w:tc>
          <w:tcPr>
            <w:tcW w:w="9505" w:type="dxa"/>
            <w:gridSpan w:val="3"/>
          </w:tcPr>
          <w:p w:rsidR="00F05D87" w:rsidRPr="008211B2" w:rsidP="00955B6E" w14:paraId="058A346B" w14:textId="3AE7184D">
            <w:pPr>
              <w:pStyle w:val="zSoquijdatNomProcureurDef"/>
            </w:pPr>
            <w:r>
              <w:t>Me</w:t>
            </w:r>
            <w:r w:rsidR="004720A0">
              <w:t xml:space="preserve"> Maggie Fortin</w:t>
            </w:r>
          </w:p>
        </w:tc>
      </w:tr>
      <w:tr w14:paraId="129A398B" w14:textId="77777777" w:rsidTr="00955B6E">
        <w:tblPrEx>
          <w:tblW w:w="9505" w:type="dxa"/>
          <w:tblLayout w:type="fixed"/>
          <w:tblLook w:val="0000"/>
        </w:tblPrEx>
        <w:trPr>
          <w:cantSplit/>
        </w:trPr>
        <w:tc>
          <w:tcPr>
            <w:tcW w:w="9505" w:type="dxa"/>
            <w:gridSpan w:val="3"/>
          </w:tcPr>
          <w:p w:rsidR="00F05D87" w:rsidRPr="008211B2" w:rsidP="00955B6E" w14:paraId="7EC2CF5E" w14:textId="4B4A3D8D">
            <w:pPr>
              <w:pStyle w:val="zSoquijdatNomProcureurDef"/>
            </w:pPr>
            <w:r>
              <w:rPr>
                <w:smallCaps/>
              </w:rPr>
              <w:t>osler, hoskin &amp; harcourt, s.e.n.c.r.l./s.r.l.</w:t>
            </w:r>
          </w:p>
        </w:tc>
      </w:tr>
      <w:tr w14:paraId="31C6DF93" w14:textId="77777777" w:rsidTr="00955B6E">
        <w:tblPrEx>
          <w:tblW w:w="9505" w:type="dxa"/>
          <w:tblLayout w:type="fixed"/>
          <w:tblLook w:val="0000"/>
        </w:tblPrEx>
        <w:trPr>
          <w:cantSplit/>
        </w:trPr>
        <w:tc>
          <w:tcPr>
            <w:tcW w:w="9505" w:type="dxa"/>
            <w:gridSpan w:val="3"/>
          </w:tcPr>
          <w:p w:rsidR="00F05D87" w:rsidRPr="00D65DCE" w:rsidP="00955B6E" w14:paraId="713C4F9B" w14:textId="15ED8B61">
            <w:pPr>
              <w:pStyle w:val="zSoquijdatNomProcureurDef"/>
              <w:rPr>
                <w:lang w:val="fr-CA"/>
              </w:rPr>
            </w:pPr>
            <w:r w:rsidRPr="00D65DCE">
              <w:rPr>
                <w:lang w:val="fr-CA"/>
              </w:rPr>
              <w:t xml:space="preserve">Avocats </w:t>
            </w:r>
            <w:r>
              <w:rPr>
                <w:lang w:val="fr-CA"/>
              </w:rPr>
              <w:t>de la défenderesse</w:t>
            </w:r>
            <w:r w:rsidRPr="00D65DCE" w:rsidR="006C1C47">
              <w:rPr>
                <w:lang w:val="fr-CA"/>
              </w:rPr>
              <w:t xml:space="preserve"> Starbucks Coffee Canada Inc.</w:t>
            </w:r>
          </w:p>
        </w:tc>
      </w:tr>
      <w:tr w14:paraId="4C363E95" w14:textId="77777777" w:rsidTr="00955B6E">
        <w:tblPrEx>
          <w:tblW w:w="9505" w:type="dxa"/>
          <w:tblLayout w:type="fixed"/>
          <w:tblLook w:val="0000"/>
        </w:tblPrEx>
        <w:trPr>
          <w:cantSplit/>
        </w:trPr>
        <w:tc>
          <w:tcPr>
            <w:tcW w:w="9505" w:type="dxa"/>
            <w:gridSpan w:val="3"/>
          </w:tcPr>
          <w:p w:rsidR="004720A0" w:rsidRPr="00D65DCE" w:rsidP="00955B6E" w14:paraId="0102319F" w14:textId="77777777">
            <w:pPr>
              <w:pStyle w:val="zSoquijdatNomProcureurDef"/>
              <w:rPr>
                <w:lang w:val="fr-CA"/>
              </w:rPr>
            </w:pPr>
          </w:p>
        </w:tc>
      </w:tr>
      <w:tr w14:paraId="286B5B56" w14:textId="77777777" w:rsidTr="00955B6E">
        <w:tblPrEx>
          <w:tblW w:w="9505" w:type="dxa"/>
          <w:tblLayout w:type="fixed"/>
          <w:tblLook w:val="0000"/>
        </w:tblPrEx>
        <w:trPr>
          <w:cantSplit/>
        </w:trPr>
        <w:tc>
          <w:tcPr>
            <w:tcW w:w="9505" w:type="dxa"/>
            <w:gridSpan w:val="3"/>
          </w:tcPr>
          <w:p w:rsidR="00F05D87" w:rsidRPr="008211B2" w:rsidP="00955B6E" w14:paraId="6CF5AFEF" w14:textId="11A2939C">
            <w:pPr>
              <w:pStyle w:val="zSoquijdatNomProcureurDef"/>
            </w:pPr>
            <w:r>
              <w:t>Me</w:t>
            </w:r>
            <w:r w:rsidR="004720A0">
              <w:t xml:space="preserve"> Mirna Kaddis</w:t>
            </w:r>
          </w:p>
        </w:tc>
      </w:tr>
      <w:tr w14:paraId="3BE2BA1B" w14:textId="77777777" w:rsidTr="00955B6E">
        <w:tblPrEx>
          <w:tblW w:w="9505" w:type="dxa"/>
          <w:tblLayout w:type="fixed"/>
          <w:tblLook w:val="0000"/>
        </w:tblPrEx>
        <w:trPr>
          <w:cantSplit/>
        </w:trPr>
        <w:tc>
          <w:tcPr>
            <w:tcW w:w="9505" w:type="dxa"/>
            <w:gridSpan w:val="3"/>
          </w:tcPr>
          <w:p w:rsidR="00F05D87" w:rsidRPr="008211B2" w:rsidP="00955B6E" w14:paraId="275325ED" w14:textId="60FB73D3">
            <w:pPr>
              <w:pStyle w:val="zSoquijdatNomProcureurDef"/>
            </w:pPr>
            <w:r>
              <w:t>Me Noah Michael Boudreau</w:t>
            </w:r>
          </w:p>
        </w:tc>
      </w:tr>
      <w:tr w14:paraId="6E37ADEB" w14:textId="77777777" w:rsidTr="00955B6E">
        <w:tblPrEx>
          <w:tblW w:w="9505" w:type="dxa"/>
          <w:tblLayout w:type="fixed"/>
          <w:tblLook w:val="0000"/>
        </w:tblPrEx>
        <w:trPr>
          <w:cantSplit/>
        </w:trPr>
        <w:tc>
          <w:tcPr>
            <w:tcW w:w="9505" w:type="dxa"/>
            <w:gridSpan w:val="3"/>
          </w:tcPr>
          <w:p w:rsidR="00F05D87" w:rsidRPr="004720A0" w:rsidP="00955B6E" w14:paraId="224939B6" w14:textId="383C5A0E">
            <w:pPr>
              <w:pStyle w:val="zSoquijdatNomProcureurDef"/>
              <w:rPr>
                <w:lang w:val="fr-CA"/>
              </w:rPr>
            </w:pPr>
            <w:r w:rsidRPr="004720A0">
              <w:rPr>
                <w:smallCaps/>
                <w:lang w:val="fr-CA"/>
              </w:rPr>
              <w:t>fasken martineau dumoulin s.e</w:t>
            </w:r>
            <w:r>
              <w:rPr>
                <w:smallCaps/>
                <w:lang w:val="fr-CA"/>
              </w:rPr>
              <w:t>.n.c.r.l./s.r.l.</w:t>
            </w:r>
          </w:p>
        </w:tc>
      </w:tr>
      <w:tr w14:paraId="6746729D" w14:textId="77777777" w:rsidTr="00955B6E">
        <w:tblPrEx>
          <w:tblW w:w="9505" w:type="dxa"/>
          <w:tblLayout w:type="fixed"/>
          <w:tblLook w:val="0000"/>
        </w:tblPrEx>
        <w:trPr>
          <w:cantSplit/>
        </w:trPr>
        <w:tc>
          <w:tcPr>
            <w:tcW w:w="9505" w:type="dxa"/>
            <w:gridSpan w:val="3"/>
          </w:tcPr>
          <w:p w:rsidR="00F05D87" w:rsidRPr="00D65DCE" w:rsidP="00955B6E" w14:paraId="56612147" w14:textId="0D0D1BD2">
            <w:pPr>
              <w:pStyle w:val="zSoquijdatNomProcureurDef"/>
              <w:rPr>
                <w:lang w:val="fr-CA"/>
              </w:rPr>
            </w:pPr>
            <w:r w:rsidRPr="00D65DCE">
              <w:rPr>
                <w:lang w:val="fr-CA"/>
              </w:rPr>
              <w:t xml:space="preserve">Avocats de </w:t>
            </w:r>
            <w:r>
              <w:rPr>
                <w:lang w:val="fr-CA"/>
              </w:rPr>
              <w:t>la défenderesse</w:t>
            </w:r>
            <w:r w:rsidRPr="00D65DCE">
              <w:rPr>
                <w:lang w:val="fr-CA"/>
              </w:rPr>
              <w:t xml:space="preserve"> </w:t>
            </w:r>
            <w:r w:rsidRPr="00D65DCE" w:rsidR="006C1C47">
              <w:rPr>
                <w:lang w:val="fr-CA"/>
              </w:rPr>
              <w:t>Foodtastic Inc. (a.d.b.a. Second Cup)</w:t>
            </w:r>
          </w:p>
        </w:tc>
      </w:tr>
      <w:tr w14:paraId="57E4CA67" w14:textId="77777777" w:rsidTr="00955B6E">
        <w:tblPrEx>
          <w:tblW w:w="9505" w:type="dxa"/>
          <w:tblLayout w:type="fixed"/>
          <w:tblLook w:val="0000"/>
        </w:tblPrEx>
        <w:trPr>
          <w:cantSplit/>
        </w:trPr>
        <w:tc>
          <w:tcPr>
            <w:tcW w:w="9505" w:type="dxa"/>
            <w:gridSpan w:val="3"/>
          </w:tcPr>
          <w:p w:rsidR="004720A0" w:rsidRPr="00D65DCE" w:rsidP="00955B6E" w14:paraId="55B33AD4" w14:textId="77777777">
            <w:pPr>
              <w:pStyle w:val="zSoquijdatNomProcureurDef"/>
              <w:rPr>
                <w:lang w:val="fr-CA"/>
              </w:rPr>
            </w:pPr>
          </w:p>
        </w:tc>
      </w:tr>
      <w:tr w14:paraId="34FCAB12" w14:textId="77777777" w:rsidTr="00955B6E">
        <w:tblPrEx>
          <w:tblW w:w="9505" w:type="dxa"/>
          <w:tblLayout w:type="fixed"/>
          <w:tblLook w:val="0000"/>
        </w:tblPrEx>
        <w:trPr>
          <w:cantSplit/>
        </w:trPr>
        <w:tc>
          <w:tcPr>
            <w:tcW w:w="9505" w:type="dxa"/>
            <w:gridSpan w:val="3"/>
          </w:tcPr>
          <w:p w:rsidR="00F05D87" w:rsidRPr="008211B2" w:rsidP="00955B6E" w14:paraId="06242DC6" w14:textId="2AB8A7D1">
            <w:pPr>
              <w:pStyle w:val="zSoquijdatNomProcureurDef"/>
            </w:pPr>
            <w:r>
              <w:t>Me</w:t>
            </w:r>
            <w:r w:rsidR="004720A0">
              <w:t xml:space="preserve"> Jean-François Forget</w:t>
            </w:r>
          </w:p>
        </w:tc>
      </w:tr>
      <w:tr w14:paraId="3B22895F" w14:textId="77777777" w:rsidTr="00955B6E">
        <w:tblPrEx>
          <w:tblW w:w="9505" w:type="dxa"/>
          <w:tblLayout w:type="fixed"/>
          <w:tblLook w:val="0000"/>
        </w:tblPrEx>
        <w:trPr>
          <w:cantSplit/>
        </w:trPr>
        <w:tc>
          <w:tcPr>
            <w:tcW w:w="9505" w:type="dxa"/>
            <w:gridSpan w:val="3"/>
          </w:tcPr>
          <w:p w:rsidR="004720A0" w:rsidRPr="008211B2" w:rsidP="00955B6E" w14:paraId="7D15747B" w14:textId="2D74D8A0">
            <w:pPr>
              <w:pStyle w:val="zSoquijdatNomProcureurDef"/>
            </w:pPr>
            <w:r>
              <w:t>Me</w:t>
            </w:r>
            <w:r>
              <w:t xml:space="preserve"> Julien Demers-Poitras</w:t>
            </w:r>
          </w:p>
        </w:tc>
      </w:tr>
      <w:tr w14:paraId="1BD9EFFE" w14:textId="77777777" w:rsidTr="00955B6E">
        <w:tblPrEx>
          <w:tblW w:w="9505" w:type="dxa"/>
          <w:tblLayout w:type="fixed"/>
          <w:tblLook w:val="0000"/>
        </w:tblPrEx>
        <w:trPr>
          <w:cantSplit/>
        </w:trPr>
        <w:tc>
          <w:tcPr>
            <w:tcW w:w="9505" w:type="dxa"/>
            <w:gridSpan w:val="3"/>
          </w:tcPr>
          <w:p w:rsidR="004720A0" w:rsidRPr="008211B2" w:rsidP="00955B6E" w14:paraId="36FCD090" w14:textId="208A4733">
            <w:pPr>
              <w:pStyle w:val="zSoquijdatNomProcureurDef"/>
            </w:pPr>
            <w:r>
              <w:t>Me</w:t>
            </w:r>
            <w:r>
              <w:t xml:space="preserve"> Pierre-Paul Daunais</w:t>
            </w:r>
          </w:p>
        </w:tc>
      </w:tr>
      <w:tr w14:paraId="1CBCB729" w14:textId="77777777" w:rsidTr="00955B6E">
        <w:tblPrEx>
          <w:tblW w:w="9505" w:type="dxa"/>
          <w:tblLayout w:type="fixed"/>
          <w:tblLook w:val="0000"/>
        </w:tblPrEx>
        <w:trPr>
          <w:cantSplit/>
        </w:trPr>
        <w:tc>
          <w:tcPr>
            <w:tcW w:w="9505" w:type="dxa"/>
            <w:gridSpan w:val="3"/>
          </w:tcPr>
          <w:p w:rsidR="004720A0" w:rsidRPr="008211B2" w:rsidP="00955B6E" w14:paraId="12D8A849" w14:textId="25A1F9EB">
            <w:pPr>
              <w:pStyle w:val="zSoquijdatNomProcureurDef"/>
            </w:pPr>
            <w:r>
              <w:rPr>
                <w:smallCaps/>
              </w:rPr>
              <w:t>stikeman elliott s.e.n.c.r.l./s.r.l.</w:t>
            </w:r>
          </w:p>
        </w:tc>
      </w:tr>
      <w:tr w14:paraId="24F79D2C" w14:textId="77777777" w:rsidTr="00955B6E">
        <w:tblPrEx>
          <w:tblW w:w="9505" w:type="dxa"/>
          <w:tblLayout w:type="fixed"/>
          <w:tblLook w:val="0000"/>
        </w:tblPrEx>
        <w:trPr>
          <w:cantSplit/>
        </w:trPr>
        <w:tc>
          <w:tcPr>
            <w:tcW w:w="9505" w:type="dxa"/>
            <w:gridSpan w:val="3"/>
          </w:tcPr>
          <w:p w:rsidR="004720A0" w:rsidRPr="00D65DCE" w:rsidP="006C1C47" w14:paraId="4D25248A" w14:textId="3B91C592">
            <w:pPr>
              <w:pStyle w:val="zSoquijdatNomProcureurDef"/>
              <w:jc w:val="both"/>
              <w:rPr>
                <w:smallCaps/>
                <w:lang w:val="fr-CA"/>
              </w:rPr>
            </w:pPr>
            <w:r w:rsidRPr="00D65DCE">
              <w:rPr>
                <w:lang w:val="fr-CA"/>
              </w:rPr>
              <w:t>Avocats des défende</w:t>
            </w:r>
            <w:r>
              <w:rPr>
                <w:lang w:val="fr-CA"/>
              </w:rPr>
              <w:t>resses</w:t>
            </w:r>
            <w:r w:rsidRPr="00D65DCE">
              <w:rPr>
                <w:lang w:val="fr-CA"/>
              </w:rPr>
              <w:t xml:space="preserve"> </w:t>
            </w:r>
            <w:r w:rsidRPr="00D65DCE">
              <w:rPr>
                <w:lang w:val="fr-CA"/>
              </w:rPr>
              <w:t>Groupe TDL Corporation, Restaurant Brands International Inc. et Restaurant Brands International Limited Partnership</w:t>
            </w:r>
          </w:p>
        </w:tc>
      </w:tr>
      <w:tr w14:paraId="502733D7" w14:textId="77777777" w:rsidTr="00955B6E">
        <w:tblPrEx>
          <w:tblW w:w="9505" w:type="dxa"/>
          <w:tblLayout w:type="fixed"/>
          <w:tblLook w:val="0000"/>
        </w:tblPrEx>
        <w:tc>
          <w:tcPr>
            <w:tcW w:w="9505" w:type="dxa"/>
            <w:gridSpan w:val="3"/>
          </w:tcPr>
          <w:p w:rsidR="00121A72" w:rsidRPr="005B031B" w:rsidP="00040446" w14:paraId="6282D4B6" w14:textId="77777777"/>
        </w:tc>
      </w:tr>
      <w:tr w14:paraId="5529C25F" w14:textId="77777777" w:rsidTr="00955B6E">
        <w:tblPrEx>
          <w:tblW w:w="9505" w:type="dxa"/>
          <w:tblLayout w:type="fixed"/>
          <w:tblLook w:val="0000"/>
        </w:tblPrEx>
        <w:tc>
          <w:tcPr>
            <w:tcW w:w="2068" w:type="dxa"/>
          </w:tcPr>
          <w:p w:rsidR="00121A72" w:rsidRPr="00D65DCE" w:rsidP="00040446" w14:paraId="0AFCA443" w14:textId="56308109">
            <w:pPr>
              <w:pStyle w:val="zSoquijlblDateAudience"/>
            </w:pPr>
            <w:r w:rsidRPr="00D65DCE">
              <w:t>Date d’audience</w:t>
            </w:r>
            <w:r w:rsidRPr="00D65DCE">
              <w:t>:</w:t>
            </w:r>
          </w:p>
        </w:tc>
        <w:tc>
          <w:tcPr>
            <w:tcW w:w="7437" w:type="dxa"/>
            <w:gridSpan w:val="2"/>
          </w:tcPr>
          <w:p w:rsidR="00121A72" w:rsidRPr="00D65DCE" w:rsidP="00F05D87" w14:paraId="19365A0F" w14:textId="72D1BF2C">
            <w:pPr>
              <w:pStyle w:val="zSoquijlblDateAudience"/>
              <w:rPr>
                <w:lang w:val="fr-CA"/>
              </w:rPr>
            </w:pPr>
            <w:r w:rsidRPr="00B725A0">
              <w:rPr>
                <w:lang w:val="fr-CA"/>
              </w:rPr>
              <w:t>23 janvier</w:t>
            </w:r>
            <w:r w:rsidRPr="00B725A0" w:rsidR="00F05D87">
              <w:rPr>
                <w:lang w:val="fr-CA"/>
              </w:rPr>
              <w:t xml:space="preserve"> 2026</w:t>
            </w:r>
          </w:p>
        </w:tc>
      </w:tr>
    </w:tbl>
    <w:p w:rsidR="005B031B" w:rsidRPr="00B725A0" w:rsidP="00040446" w14:paraId="3E1296F2" w14:textId="77777777">
      <w:pPr>
        <w:rPr>
          <w:lang w:val="fr-CA"/>
        </w:rPr>
      </w:pPr>
    </w:p>
    <w:p w:rsidR="005B031B" w:rsidRPr="00B725A0" w:rsidP="00040446" w14:paraId="6A3592FC" w14:textId="77777777">
      <w:pPr>
        <w:rPr>
          <w:lang w:val="fr-CA"/>
        </w:rPr>
      </w:pPr>
    </w:p>
    <w:p w:rsidR="005B031B" w:rsidRPr="00B725A0" w:rsidP="00040446" w14:paraId="2454BBEB" w14:textId="77777777">
      <w:pPr>
        <w:rPr>
          <w:lang w:val="fr-CA"/>
        </w:rPr>
      </w:pPr>
    </w:p>
    <w:p w:rsidR="00121A72" w:rsidRPr="00B725A0" w:rsidP="00040446" w14:paraId="61B9EF33" w14:textId="77777777">
      <w:pPr>
        <w:rPr>
          <w:lang w:val="fr-CA"/>
        </w:rPr>
      </w:pPr>
    </w:p>
    <w:sectPr>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2242" w:h="15842" w:code="1"/>
      <w:pgMar w:top="1440" w:right="1008" w:bottom="1440" w:left="1872" w:header="1440" w:footer="792"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21A72" w14:paraId="1537E6B8" w14:textId="77777777">
    <w:pPr>
      <w:framePr w:wrap="around" w:vAnchor="text" w:hAnchor="margin" w:xAlign="right" w:y="1"/>
    </w:pPr>
    <w:r>
      <w:fldChar w:fldCharType="begin"/>
    </w:r>
    <w:r>
      <w:instrText xml:space="preserve">PAGE  </w:instrText>
    </w:r>
    <w:r>
      <w:fldChar w:fldCharType="separate"/>
    </w:r>
    <w:r>
      <w:fldChar w:fldCharType="end"/>
    </w:r>
  </w:p>
  <w:p w:rsidR="00121A72" w14:paraId="1C9ACF87" w14:textId="77777777">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0F7A" w14:paraId="5C90C2C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0F7A" w14:paraId="24AB3D4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750CE6" w14:paraId="1130175E" w14:textId="77777777">
      <w:r>
        <w:separator/>
      </w:r>
    </w:p>
  </w:footnote>
  <w:footnote w:type="continuationSeparator" w:id="1">
    <w:p w:rsidR="00750CE6" w14:paraId="195B5E4E" w14:textId="77777777">
      <w:r>
        <w:continuationSeparator/>
      </w:r>
    </w:p>
  </w:footnote>
  <w:footnote w:id="2">
    <w:p w:rsidR="007C088A" w:rsidRPr="007C088A" w14:paraId="0964A3B0" w14:textId="1AA7C86C">
      <w:pPr>
        <w:pStyle w:val="FootnoteText"/>
        <w:rPr>
          <w:lang w:val="fr-CA"/>
        </w:rPr>
      </w:pPr>
      <w:r>
        <w:rPr>
          <w:rStyle w:val="FootnoteReference"/>
        </w:rPr>
        <w:footnoteRef/>
      </w:r>
      <w:r w:rsidRPr="00C56A95">
        <w:rPr>
          <w:lang w:val="fr-CA"/>
        </w:rPr>
        <w:t xml:space="preserve"> </w:t>
      </w:r>
      <w:r>
        <w:rPr>
          <w:lang w:val="fr-CA"/>
        </w:rPr>
        <w:tab/>
        <w:t>RLRQ c. P-40.1 (« </w:t>
      </w:r>
      <w:r>
        <w:rPr>
          <w:b/>
          <w:bCs/>
          <w:lang w:val="fr-CA"/>
        </w:rPr>
        <w:t>L.p.c.</w:t>
      </w:r>
      <w:r>
        <w:rPr>
          <w:lang w:val="fr-CA"/>
        </w:rPr>
        <w:t> »).</w:t>
      </w:r>
    </w:p>
  </w:footnote>
  <w:footnote w:id="3">
    <w:p w:rsidR="00682EB7" w:rsidRPr="00682EB7" w14:paraId="6B0984B0" w14:textId="11D11104">
      <w:pPr>
        <w:pStyle w:val="FootnoteText"/>
        <w:rPr>
          <w:lang w:val="fr-CA"/>
        </w:rPr>
      </w:pPr>
      <w:r>
        <w:rPr>
          <w:rStyle w:val="FootnoteReference"/>
        </w:rPr>
        <w:footnoteRef/>
      </w:r>
      <w:r w:rsidRPr="00682EB7">
        <w:rPr>
          <w:lang w:val="fr-CA"/>
        </w:rPr>
        <w:t xml:space="preserve"> </w:t>
      </w:r>
      <w:r>
        <w:rPr>
          <w:lang w:val="fr-CA"/>
        </w:rPr>
        <w:tab/>
      </w:r>
      <w:r>
        <w:rPr>
          <w:i/>
          <w:iCs/>
          <w:lang w:val="fr-CA"/>
        </w:rPr>
        <w:t>Code civil du Québec</w:t>
      </w:r>
      <w:r>
        <w:rPr>
          <w:lang w:val="fr-CA"/>
        </w:rPr>
        <w:t>, RLRQ c. CCQ-1991 (« </w:t>
      </w:r>
      <w:r>
        <w:rPr>
          <w:b/>
          <w:bCs/>
          <w:lang w:val="fr-CA"/>
        </w:rPr>
        <w:t>C.c.Q.</w:t>
      </w:r>
      <w:r>
        <w:rPr>
          <w:lang w:val="fr-CA"/>
        </w:rPr>
        <w:t> »).</w:t>
      </w:r>
    </w:p>
  </w:footnote>
  <w:footnote w:id="4">
    <w:p w:rsidR="00AB7E44" w:rsidRPr="00AB7E44" w14:paraId="0B9457F4" w14:textId="61742919">
      <w:pPr>
        <w:pStyle w:val="FootnoteText"/>
        <w:rPr>
          <w:lang w:val="fr-CA"/>
        </w:rPr>
      </w:pPr>
      <w:r>
        <w:rPr>
          <w:rStyle w:val="FootnoteReference"/>
        </w:rPr>
        <w:footnoteRef/>
      </w:r>
      <w:r w:rsidRPr="00AB7E44">
        <w:rPr>
          <w:lang w:val="fr-CA"/>
        </w:rPr>
        <w:t xml:space="preserve"> </w:t>
      </w:r>
      <w:r w:rsidRPr="00AB7E44">
        <w:rPr>
          <w:lang w:val="fr-CA"/>
        </w:rPr>
        <w:tab/>
      </w:r>
      <w:r w:rsidRPr="00AB7E44">
        <w:rPr>
          <w:i/>
          <w:iCs/>
          <w:lang w:val="fr-CA"/>
        </w:rPr>
        <w:t>Code de proc</w:t>
      </w:r>
      <w:r w:rsidR="00DD2CAA">
        <w:rPr>
          <w:i/>
          <w:iCs/>
          <w:lang w:val="fr-CA"/>
        </w:rPr>
        <w:t>é</w:t>
      </w:r>
      <w:r w:rsidRPr="00AB7E44">
        <w:rPr>
          <w:i/>
          <w:iCs/>
          <w:lang w:val="fr-CA"/>
        </w:rPr>
        <w:t>dure civile</w:t>
      </w:r>
      <w:r w:rsidRPr="00AB7E44">
        <w:rPr>
          <w:lang w:val="fr-CA"/>
        </w:rPr>
        <w:t xml:space="preserve">, </w:t>
      </w:r>
      <w:r>
        <w:rPr>
          <w:lang w:val="fr-CA"/>
        </w:rPr>
        <w:t>RLRQ c. C-25.01 (« </w:t>
      </w:r>
      <w:r>
        <w:rPr>
          <w:b/>
          <w:bCs/>
          <w:lang w:val="fr-CA"/>
        </w:rPr>
        <w:t>C.p.c.</w:t>
      </w:r>
      <w:r>
        <w:rPr>
          <w:lang w:val="fr-CA"/>
        </w:rPr>
        <w:t> »).</w:t>
      </w:r>
    </w:p>
  </w:footnote>
  <w:footnote w:id="5">
    <w:p w:rsidR="0034592B" w:rsidRPr="001D5E60" w14:paraId="5A1ABDBB" w14:textId="3AA05F0F">
      <w:pPr>
        <w:pStyle w:val="FootnoteText"/>
        <w:rPr>
          <w:lang w:val="fr-CA"/>
        </w:rPr>
      </w:pPr>
      <w:r>
        <w:rPr>
          <w:rStyle w:val="FootnoteReference"/>
        </w:rPr>
        <w:footnoteRef/>
      </w:r>
      <w:r w:rsidRPr="001D5E60">
        <w:rPr>
          <w:lang w:val="fr-CA"/>
        </w:rPr>
        <w:t xml:space="preserve"> </w:t>
      </w:r>
      <w:r w:rsidRPr="001D5E60">
        <w:rPr>
          <w:lang w:val="fr-CA"/>
        </w:rPr>
        <w:tab/>
      </w:r>
      <w:r w:rsidRPr="0034592B" w:rsidR="001D5E60">
        <w:rPr>
          <w:i/>
          <w:iCs/>
          <w:lang w:val="fr-CA"/>
        </w:rPr>
        <w:t>L’Oratoire Saint</w:t>
      </w:r>
      <w:r w:rsidRPr="0034592B" w:rsidR="001D5E60">
        <w:rPr>
          <w:rFonts w:ascii="Cambria Math" w:hAnsi="Cambria Math" w:cs="Cambria Math"/>
          <w:i/>
          <w:iCs/>
          <w:lang w:val="fr-CA"/>
        </w:rPr>
        <w:t>‑</w:t>
      </w:r>
      <w:r w:rsidRPr="0034592B" w:rsidR="001D5E60">
        <w:rPr>
          <w:i/>
          <w:iCs/>
          <w:lang w:val="fr-CA"/>
        </w:rPr>
        <w:t>Joseph du Mont</w:t>
      </w:r>
      <w:r w:rsidRPr="0034592B" w:rsidR="001D5E60">
        <w:rPr>
          <w:rFonts w:ascii="Cambria Math" w:hAnsi="Cambria Math" w:cs="Cambria Math"/>
          <w:i/>
          <w:iCs/>
          <w:lang w:val="fr-CA"/>
        </w:rPr>
        <w:t>‑</w:t>
      </w:r>
      <w:r w:rsidRPr="0034592B" w:rsidR="001D5E60">
        <w:rPr>
          <w:i/>
          <w:iCs/>
          <w:lang w:val="fr-CA"/>
        </w:rPr>
        <w:t>Royal c. J.J</w:t>
      </w:r>
      <w:r w:rsidRPr="0034592B" w:rsidR="001D5E60">
        <w:rPr>
          <w:lang w:val="fr-CA"/>
        </w:rPr>
        <w:t>., [2019] 2 R</w:t>
      </w:r>
      <w:r w:rsidR="001D5E60">
        <w:rPr>
          <w:lang w:val="fr-CA"/>
        </w:rPr>
        <w:t>.</w:t>
      </w:r>
      <w:r w:rsidRPr="0034592B" w:rsidR="001D5E60">
        <w:rPr>
          <w:lang w:val="fr-CA"/>
        </w:rPr>
        <w:t>C</w:t>
      </w:r>
      <w:r w:rsidR="001D5E60">
        <w:rPr>
          <w:lang w:val="fr-CA"/>
        </w:rPr>
        <w:t>.</w:t>
      </w:r>
      <w:r w:rsidRPr="0034592B" w:rsidR="001D5E60">
        <w:rPr>
          <w:lang w:val="fr-CA"/>
        </w:rPr>
        <w:t>S</w:t>
      </w:r>
      <w:r w:rsidR="001D5E60">
        <w:rPr>
          <w:lang w:val="fr-CA"/>
        </w:rPr>
        <w:t>.</w:t>
      </w:r>
      <w:r w:rsidRPr="0034592B" w:rsidR="001D5E60">
        <w:rPr>
          <w:lang w:val="fr-CA"/>
        </w:rPr>
        <w:t xml:space="preserve"> 831</w:t>
      </w:r>
      <w:r w:rsidR="00B915F4">
        <w:rPr>
          <w:lang w:val="fr-CA"/>
        </w:rPr>
        <w:t xml:space="preserve"> [</w:t>
      </w:r>
      <w:r w:rsidR="00B915F4">
        <w:rPr>
          <w:b/>
          <w:bCs/>
          <w:i/>
          <w:iCs/>
          <w:lang w:val="fr-CA"/>
        </w:rPr>
        <w:t>L’Oratoire</w:t>
      </w:r>
      <w:r w:rsidR="00B915F4">
        <w:rPr>
          <w:lang w:val="fr-CA"/>
        </w:rPr>
        <w:t>]</w:t>
      </w:r>
      <w:r w:rsidRPr="0034592B" w:rsidR="001D5E60">
        <w:rPr>
          <w:lang w:val="fr-CA"/>
        </w:rPr>
        <w:t xml:space="preserve">, </w:t>
      </w:r>
      <w:r w:rsidR="001D5E60">
        <w:rPr>
          <w:lang w:val="fr-CA"/>
        </w:rPr>
        <w:t>par.</w:t>
      </w:r>
      <w:r w:rsidR="008E0450">
        <w:rPr>
          <w:lang w:val="fr-CA"/>
        </w:rPr>
        <w:t xml:space="preserve"> </w:t>
      </w:r>
      <w:r w:rsidR="001D5E60">
        <w:rPr>
          <w:lang w:val="fr-CA"/>
        </w:rPr>
        <w:t>7;</w:t>
      </w:r>
      <w:r w:rsidRPr="0034592B" w:rsidR="001D5E60">
        <w:rPr>
          <w:lang w:val="fr-CA"/>
        </w:rPr>
        <w:t xml:space="preserve"> </w:t>
      </w:r>
      <w:r w:rsidRPr="0034592B" w:rsidR="001D5E60">
        <w:rPr>
          <w:i/>
          <w:iCs/>
          <w:lang w:val="fr-CA"/>
        </w:rPr>
        <w:t>Infineon Technologies AG</w:t>
      </w:r>
      <w:r w:rsidRPr="0034592B" w:rsidR="001D5E60">
        <w:rPr>
          <w:lang w:val="fr-CA"/>
        </w:rPr>
        <w:t> c. </w:t>
      </w:r>
      <w:r w:rsidRPr="0034592B" w:rsidR="001D5E60">
        <w:rPr>
          <w:i/>
          <w:iCs/>
          <w:lang w:val="fr-CA"/>
        </w:rPr>
        <w:t>Option consommateurs</w:t>
      </w:r>
      <w:r w:rsidRPr="0034592B" w:rsidR="001D5E60">
        <w:rPr>
          <w:lang w:val="fr-CA"/>
        </w:rPr>
        <w:t>,</w:t>
      </w:r>
      <w:r w:rsidR="001D5E60">
        <w:rPr>
          <w:lang w:val="fr-CA"/>
        </w:rPr>
        <w:t xml:space="preserve"> </w:t>
      </w:r>
      <w:r w:rsidRPr="0034592B" w:rsidR="001D5E60">
        <w:rPr>
          <w:lang w:val="fr-CA"/>
        </w:rPr>
        <w:t>[2013] 3 R.C.S. 600</w:t>
      </w:r>
      <w:r w:rsidR="00B915F4">
        <w:rPr>
          <w:lang w:val="fr-CA"/>
        </w:rPr>
        <w:t xml:space="preserve"> [</w:t>
      </w:r>
      <w:r w:rsidR="00B915F4">
        <w:rPr>
          <w:b/>
          <w:bCs/>
          <w:i/>
          <w:iCs/>
          <w:lang w:val="fr-CA"/>
        </w:rPr>
        <w:t>Infineon</w:t>
      </w:r>
      <w:r w:rsidR="00B915F4">
        <w:rPr>
          <w:lang w:val="fr-CA"/>
        </w:rPr>
        <w:t>]</w:t>
      </w:r>
      <w:r w:rsidR="001D5E60">
        <w:rPr>
          <w:lang w:val="fr-CA"/>
        </w:rPr>
        <w:t>, par. 59</w:t>
      </w:r>
      <w:r w:rsidR="008F38B5">
        <w:rPr>
          <w:lang w:val="fr-CA"/>
        </w:rPr>
        <w:t>, 61 et 65</w:t>
      </w:r>
      <w:r w:rsidR="001D5E60">
        <w:rPr>
          <w:lang w:val="fr-CA"/>
        </w:rPr>
        <w:t>.</w:t>
      </w:r>
    </w:p>
  </w:footnote>
  <w:footnote w:id="6">
    <w:p w:rsidR="008F38B5" w:rsidRPr="008F38B5" w14:paraId="4FAF5B69" w14:textId="68799AC1">
      <w:pPr>
        <w:pStyle w:val="FootnoteText"/>
        <w:rPr>
          <w:lang w:val="fr-CA"/>
        </w:rPr>
      </w:pPr>
      <w:r>
        <w:rPr>
          <w:rStyle w:val="FootnoteReference"/>
        </w:rPr>
        <w:footnoteRef/>
      </w:r>
      <w:r w:rsidRPr="008F38B5">
        <w:rPr>
          <w:lang w:val="fr-CA"/>
        </w:rPr>
        <w:t xml:space="preserve"> </w:t>
      </w:r>
      <w:r>
        <w:rPr>
          <w:lang w:val="fr-CA"/>
        </w:rPr>
        <w:tab/>
      </w:r>
      <w:r w:rsidRPr="0034592B">
        <w:rPr>
          <w:i/>
          <w:iCs/>
          <w:lang w:val="fr-CA"/>
        </w:rPr>
        <w:t>Infineon</w:t>
      </w:r>
      <w:r>
        <w:rPr>
          <w:lang w:val="fr-CA"/>
        </w:rPr>
        <w:t>,</w:t>
      </w:r>
      <w:r w:rsidR="00B915F4">
        <w:rPr>
          <w:lang w:val="fr-CA"/>
        </w:rPr>
        <w:t xml:space="preserve"> </w:t>
      </w:r>
      <w:r w:rsidR="00B915F4">
        <w:rPr>
          <w:i/>
          <w:iCs/>
          <w:lang w:val="fr-CA"/>
        </w:rPr>
        <w:t>supra</w:t>
      </w:r>
      <w:r w:rsidR="00B915F4">
        <w:rPr>
          <w:lang w:val="fr-CA"/>
        </w:rPr>
        <w:t>,</w:t>
      </w:r>
      <w:r>
        <w:rPr>
          <w:lang w:val="fr-CA"/>
        </w:rPr>
        <w:t xml:space="preserve"> par. 61, citant </w:t>
      </w:r>
      <w:r w:rsidRPr="008F38B5">
        <w:rPr>
          <w:i/>
          <w:iCs/>
          <w:lang w:val="fr-CA"/>
        </w:rPr>
        <w:t>Pharmascience Inc. c. Option Consommateurs</w:t>
      </w:r>
      <w:r w:rsidRPr="008F38B5">
        <w:rPr>
          <w:lang w:val="fr-CA"/>
        </w:rPr>
        <w:t>, 2005 QCCA 437,</w:t>
      </w:r>
      <w:r w:rsidR="007D0AA2">
        <w:rPr>
          <w:lang w:val="fr-CA"/>
        </w:rPr>
        <w:t xml:space="preserve"> </w:t>
      </w:r>
      <w:r w:rsidRPr="008F38B5">
        <w:rPr>
          <w:lang w:val="fr-CA"/>
        </w:rPr>
        <w:t>par.</w:t>
      </w:r>
      <w:r w:rsidR="007D0AA2">
        <w:rPr>
          <w:lang w:val="fr-CA"/>
        </w:rPr>
        <w:t> </w:t>
      </w:r>
      <w:r w:rsidRPr="008F38B5">
        <w:rPr>
          <w:lang w:val="fr-CA"/>
        </w:rPr>
        <w:t>25</w:t>
      </w:r>
      <w:r w:rsidR="002B4814">
        <w:rPr>
          <w:lang w:val="fr-CA"/>
        </w:rPr>
        <w:t xml:space="preserve"> (demandes d’autorisation de pourvoi rejetées, C.S.C., 2025-08-25, n° 30922, n° 30923 et n° 30924).</w:t>
      </w:r>
    </w:p>
  </w:footnote>
  <w:footnote w:id="7">
    <w:p w:rsidR="001D5E60" w:rsidRPr="001D5E60" w14:paraId="0A139358" w14:textId="1F737A5D">
      <w:pPr>
        <w:pStyle w:val="FootnoteText"/>
        <w:rPr>
          <w:lang w:val="fr-CA"/>
        </w:rPr>
      </w:pPr>
      <w:r>
        <w:rPr>
          <w:rStyle w:val="FootnoteReference"/>
        </w:rPr>
        <w:footnoteRef/>
      </w:r>
      <w:r w:rsidRPr="001D5E60">
        <w:rPr>
          <w:lang w:val="fr-CA"/>
        </w:rPr>
        <w:t xml:space="preserve"> </w:t>
      </w:r>
      <w:r w:rsidRPr="001D5E60">
        <w:rPr>
          <w:lang w:val="fr-CA"/>
        </w:rPr>
        <w:tab/>
      </w:r>
      <w:r w:rsidRPr="0034592B">
        <w:rPr>
          <w:i/>
          <w:iCs/>
          <w:lang w:val="fr-CA"/>
        </w:rPr>
        <w:t>L’Oratoire</w:t>
      </w:r>
      <w:r w:rsidR="00B915F4">
        <w:rPr>
          <w:lang w:val="fr-CA"/>
        </w:rPr>
        <w:t xml:space="preserve">, </w:t>
      </w:r>
      <w:r w:rsidR="00B915F4">
        <w:rPr>
          <w:i/>
          <w:iCs/>
          <w:lang w:val="fr-CA"/>
        </w:rPr>
        <w:t>supra</w:t>
      </w:r>
      <w:r w:rsidRPr="0034592B">
        <w:rPr>
          <w:lang w:val="fr-CA"/>
        </w:rPr>
        <w:t xml:space="preserve">, </w:t>
      </w:r>
      <w:r>
        <w:rPr>
          <w:lang w:val="fr-CA"/>
        </w:rPr>
        <w:t>par. 7;</w:t>
      </w:r>
      <w:r w:rsidRPr="0034592B">
        <w:rPr>
          <w:lang w:val="fr-CA"/>
        </w:rPr>
        <w:t xml:space="preserve"> </w:t>
      </w:r>
      <w:r w:rsidRPr="0034592B">
        <w:rPr>
          <w:i/>
          <w:iCs/>
          <w:lang w:val="fr-CA"/>
        </w:rPr>
        <w:t>Infineon</w:t>
      </w:r>
      <w:r w:rsidR="00B915F4">
        <w:rPr>
          <w:lang w:val="fr-CA"/>
        </w:rPr>
        <w:t xml:space="preserve">, </w:t>
      </w:r>
      <w:r w:rsidR="00B915F4">
        <w:rPr>
          <w:i/>
          <w:iCs/>
          <w:lang w:val="fr-CA"/>
        </w:rPr>
        <w:t>supra</w:t>
      </w:r>
      <w:r w:rsidR="00B915F4">
        <w:rPr>
          <w:lang w:val="fr-CA"/>
        </w:rPr>
        <w:t>,</w:t>
      </w:r>
      <w:r>
        <w:rPr>
          <w:lang w:val="fr-CA"/>
        </w:rPr>
        <w:t xml:space="preserve"> par. 59 et 68.</w:t>
      </w:r>
    </w:p>
  </w:footnote>
  <w:footnote w:id="8">
    <w:p w:rsidR="001D5E60" w:rsidRPr="001D5E60" w14:paraId="2043C9A7" w14:textId="6387DA53">
      <w:pPr>
        <w:pStyle w:val="FootnoteText"/>
        <w:rPr>
          <w:lang w:val="fr-CA"/>
        </w:rPr>
      </w:pPr>
      <w:r>
        <w:rPr>
          <w:rStyle w:val="FootnoteReference"/>
        </w:rPr>
        <w:footnoteRef/>
      </w:r>
      <w:r w:rsidRPr="001D5E60">
        <w:rPr>
          <w:lang w:val="fr-CA"/>
        </w:rPr>
        <w:t xml:space="preserve"> </w:t>
      </w:r>
      <w:r w:rsidRPr="001D5E60">
        <w:rPr>
          <w:lang w:val="fr-CA"/>
        </w:rPr>
        <w:tab/>
      </w:r>
      <w:r w:rsidRPr="001D5E60">
        <w:rPr>
          <w:i/>
          <w:iCs/>
          <w:lang w:val="fr-CA"/>
        </w:rPr>
        <w:t>L’Oratoire</w:t>
      </w:r>
      <w:r w:rsidR="00B915F4">
        <w:rPr>
          <w:lang w:val="fr-CA"/>
        </w:rPr>
        <w:t xml:space="preserve">, </w:t>
      </w:r>
      <w:r w:rsidR="00B915F4">
        <w:rPr>
          <w:i/>
          <w:iCs/>
          <w:lang w:val="fr-CA"/>
        </w:rPr>
        <w:t>supra</w:t>
      </w:r>
      <w:r w:rsidR="00B915F4">
        <w:rPr>
          <w:lang w:val="fr-CA"/>
        </w:rPr>
        <w:t xml:space="preserve">, </w:t>
      </w:r>
      <w:r w:rsidRPr="001D5E60">
        <w:rPr>
          <w:lang w:val="fr-CA"/>
        </w:rPr>
        <w:t>par. </w:t>
      </w:r>
      <w:r>
        <w:rPr>
          <w:lang w:val="fr-CA"/>
        </w:rPr>
        <w:t>8</w:t>
      </w:r>
      <w:r w:rsidRPr="001D5E60">
        <w:rPr>
          <w:lang w:val="fr-CA"/>
        </w:rPr>
        <w:t xml:space="preserve">; </w:t>
      </w:r>
      <w:r w:rsidRPr="001D5E60">
        <w:rPr>
          <w:i/>
          <w:iCs/>
          <w:lang w:val="fr-CA"/>
        </w:rPr>
        <w:t>Infineon</w:t>
      </w:r>
      <w:r w:rsidR="00B915F4">
        <w:rPr>
          <w:lang w:val="fr-CA"/>
        </w:rPr>
        <w:t xml:space="preserve">, </w:t>
      </w:r>
      <w:r w:rsidR="00B915F4">
        <w:rPr>
          <w:i/>
          <w:iCs/>
          <w:lang w:val="fr-CA"/>
        </w:rPr>
        <w:t>supra</w:t>
      </w:r>
      <w:r w:rsidR="00B915F4">
        <w:rPr>
          <w:lang w:val="fr-CA"/>
        </w:rPr>
        <w:t xml:space="preserve">, </w:t>
      </w:r>
      <w:r w:rsidRPr="001D5E60">
        <w:rPr>
          <w:lang w:val="fr-CA"/>
        </w:rPr>
        <w:t xml:space="preserve">par. </w:t>
      </w:r>
      <w:r>
        <w:rPr>
          <w:lang w:val="fr-CA"/>
        </w:rPr>
        <w:t>60.</w:t>
      </w:r>
    </w:p>
  </w:footnote>
  <w:footnote w:id="9">
    <w:p w:rsidR="00962CDD" w:rsidRPr="00962CDD" w14:paraId="7535962B" w14:textId="163E3A22">
      <w:pPr>
        <w:pStyle w:val="FootnoteText"/>
        <w:rPr>
          <w:lang w:val="fr-CA"/>
        </w:rPr>
      </w:pPr>
      <w:r>
        <w:rPr>
          <w:rStyle w:val="FootnoteReference"/>
        </w:rPr>
        <w:footnoteRef/>
      </w:r>
      <w:r w:rsidRPr="00962CDD">
        <w:rPr>
          <w:lang w:val="fr-CA"/>
        </w:rPr>
        <w:t xml:space="preserve"> </w:t>
      </w:r>
      <w:r>
        <w:rPr>
          <w:lang w:val="fr-CA"/>
        </w:rPr>
        <w:tab/>
      </w:r>
      <w:r>
        <w:rPr>
          <w:i/>
          <w:iCs/>
          <w:lang w:val="fr-CA"/>
        </w:rPr>
        <w:t>L’Oratoire</w:t>
      </w:r>
      <w:r>
        <w:rPr>
          <w:lang w:val="fr-CA"/>
        </w:rPr>
        <w:t xml:space="preserve">, </w:t>
      </w:r>
      <w:r>
        <w:rPr>
          <w:i/>
          <w:iCs/>
          <w:lang w:val="fr-CA"/>
        </w:rPr>
        <w:t>supra</w:t>
      </w:r>
      <w:r>
        <w:rPr>
          <w:lang w:val="fr-CA"/>
        </w:rPr>
        <w:t>, par. 42.</w:t>
      </w:r>
    </w:p>
  </w:footnote>
  <w:footnote w:id="10">
    <w:p w:rsidR="008E0450" w:rsidRPr="008E0450" w14:paraId="5D7B5D8C" w14:textId="10D9CCA9">
      <w:pPr>
        <w:pStyle w:val="FootnoteText"/>
        <w:rPr>
          <w:lang w:val="fr-CA"/>
        </w:rPr>
      </w:pPr>
      <w:r>
        <w:rPr>
          <w:rStyle w:val="FootnoteReference"/>
        </w:rPr>
        <w:footnoteRef/>
      </w:r>
      <w:r w:rsidRPr="008E0450">
        <w:rPr>
          <w:lang w:val="fr-CA"/>
        </w:rPr>
        <w:t xml:space="preserve"> </w:t>
      </w:r>
      <w:r w:rsidRPr="008E0450">
        <w:rPr>
          <w:lang w:val="fr-CA"/>
        </w:rPr>
        <w:tab/>
      </w:r>
      <w:r w:rsidRPr="001D5E60">
        <w:rPr>
          <w:i/>
          <w:iCs/>
          <w:lang w:val="fr-CA"/>
        </w:rPr>
        <w:t>Infineon</w:t>
      </w:r>
      <w:r w:rsidR="00B915F4">
        <w:rPr>
          <w:lang w:val="fr-CA"/>
        </w:rPr>
        <w:t xml:space="preserve">, </w:t>
      </w:r>
      <w:r w:rsidR="00B915F4">
        <w:rPr>
          <w:i/>
          <w:iCs/>
          <w:lang w:val="fr-CA"/>
        </w:rPr>
        <w:t>supra</w:t>
      </w:r>
      <w:r w:rsidR="00B915F4">
        <w:rPr>
          <w:lang w:val="fr-CA"/>
        </w:rPr>
        <w:t xml:space="preserve">, </w:t>
      </w:r>
      <w:r w:rsidRPr="001D5E60">
        <w:rPr>
          <w:lang w:val="fr-CA"/>
        </w:rPr>
        <w:t>par.</w:t>
      </w:r>
      <w:r>
        <w:rPr>
          <w:lang w:val="fr-CA"/>
        </w:rPr>
        <w:t xml:space="preserve"> 65.</w:t>
      </w:r>
    </w:p>
  </w:footnote>
  <w:footnote w:id="11">
    <w:p w:rsidR="008E0450" w:rsidRPr="008E0450" w14:paraId="2F0B90CE" w14:textId="42CCC0A4">
      <w:pPr>
        <w:pStyle w:val="FootnoteText"/>
        <w:rPr>
          <w:lang w:val="fr-CA"/>
        </w:rPr>
      </w:pPr>
      <w:r>
        <w:rPr>
          <w:rStyle w:val="FootnoteReference"/>
        </w:rPr>
        <w:footnoteRef/>
      </w:r>
      <w:r w:rsidRPr="008E0450">
        <w:rPr>
          <w:lang w:val="fr-CA"/>
        </w:rPr>
        <w:t xml:space="preserve"> </w:t>
      </w:r>
      <w:r w:rsidRPr="008E0450">
        <w:rPr>
          <w:lang w:val="fr-CA"/>
        </w:rPr>
        <w:tab/>
      </w:r>
      <w:r w:rsidRPr="0034592B">
        <w:rPr>
          <w:i/>
          <w:iCs/>
          <w:lang w:val="fr-CA"/>
        </w:rPr>
        <w:t>L’Oratoire</w:t>
      </w:r>
      <w:r w:rsidR="00B915F4">
        <w:rPr>
          <w:lang w:val="fr-CA"/>
        </w:rPr>
        <w:t xml:space="preserve">, </w:t>
      </w:r>
      <w:r w:rsidR="00B915F4">
        <w:rPr>
          <w:i/>
          <w:iCs/>
          <w:lang w:val="fr-CA"/>
        </w:rPr>
        <w:t>supra</w:t>
      </w:r>
      <w:r w:rsidR="00B915F4">
        <w:rPr>
          <w:lang w:val="fr-CA"/>
        </w:rPr>
        <w:t xml:space="preserve">, </w:t>
      </w:r>
      <w:r>
        <w:rPr>
          <w:lang w:val="fr-CA"/>
        </w:rPr>
        <w:t xml:space="preserve">par. </w:t>
      </w:r>
      <w:r w:rsidR="00746871">
        <w:rPr>
          <w:lang w:val="fr-CA"/>
        </w:rPr>
        <w:t>56-58.</w:t>
      </w:r>
    </w:p>
  </w:footnote>
  <w:footnote w:id="12">
    <w:p w:rsidR="00CD4F89" w:rsidRPr="00CD4F89" w14:paraId="4570546A" w14:textId="577CA15B">
      <w:pPr>
        <w:pStyle w:val="FootnoteText"/>
        <w:rPr>
          <w:lang w:val="fr-CA"/>
        </w:rPr>
      </w:pPr>
      <w:r>
        <w:rPr>
          <w:rStyle w:val="FootnoteReference"/>
        </w:rPr>
        <w:footnoteRef/>
      </w:r>
      <w:r w:rsidRPr="00CD4F89">
        <w:rPr>
          <w:lang w:val="fr-CA"/>
        </w:rPr>
        <w:t xml:space="preserve"> </w:t>
      </w:r>
      <w:r w:rsidRPr="00CD4F89">
        <w:rPr>
          <w:lang w:val="fr-CA"/>
        </w:rPr>
        <w:tab/>
      </w:r>
      <w:r w:rsidRPr="00FD3121" w:rsidR="00FD3121">
        <w:rPr>
          <w:i/>
          <w:iCs/>
          <w:lang w:val="fr-CA"/>
        </w:rPr>
        <w:t>L’Oratoire, supra</w:t>
      </w:r>
      <w:r w:rsidR="00FD3121">
        <w:rPr>
          <w:lang w:val="fr-CA"/>
        </w:rPr>
        <w:t xml:space="preserve">, par. 58; </w:t>
      </w:r>
      <w:r w:rsidRPr="001D6F5B" w:rsidR="00FD3121">
        <w:rPr>
          <w:i/>
          <w:iCs/>
          <w:lang w:val="fr-CA"/>
        </w:rPr>
        <w:t>Haroch c. Banque Toronto Dominion</w:t>
      </w:r>
      <w:r w:rsidR="00FD3121">
        <w:rPr>
          <w:lang w:val="fr-CA"/>
        </w:rPr>
        <w:t xml:space="preserve">, 2026 QCCA 700, par. 52; </w:t>
      </w:r>
      <w:r w:rsidRPr="00CD4F89">
        <w:rPr>
          <w:i/>
          <w:iCs/>
          <w:lang w:val="fr-CA"/>
        </w:rPr>
        <w:t>Dumlao c. Fido Solutions inc</w:t>
      </w:r>
      <w:r w:rsidRPr="00CD4F89">
        <w:rPr>
          <w:lang w:val="fr-CA"/>
        </w:rPr>
        <w:t>., 2025 QCCA 1645</w:t>
      </w:r>
      <w:r w:rsidR="00124DA8">
        <w:rPr>
          <w:lang w:val="fr-CA"/>
        </w:rPr>
        <w:t xml:space="preserve"> (demande d’autorisation de pourvoi, C.S.C., 2026-02-16, n° 42222)</w:t>
      </w:r>
      <w:r w:rsidR="00823E36">
        <w:rPr>
          <w:lang w:val="fr-CA"/>
        </w:rPr>
        <w:t xml:space="preserve"> [</w:t>
      </w:r>
      <w:r w:rsidRPr="00823E36" w:rsidR="00823E36">
        <w:rPr>
          <w:b/>
          <w:bCs/>
          <w:i/>
          <w:iCs/>
          <w:lang w:val="fr-CA"/>
        </w:rPr>
        <w:t>Dumlao</w:t>
      </w:r>
      <w:r w:rsidR="00823E36">
        <w:rPr>
          <w:lang w:val="fr-CA"/>
        </w:rPr>
        <w:t>]</w:t>
      </w:r>
      <w:r w:rsidRPr="00CD4F89">
        <w:rPr>
          <w:lang w:val="fr-CA"/>
        </w:rPr>
        <w:t>, par. 68</w:t>
      </w:r>
      <w:r>
        <w:rPr>
          <w:lang w:val="fr-CA"/>
        </w:rPr>
        <w:t>.</w:t>
      </w:r>
    </w:p>
  </w:footnote>
  <w:footnote w:id="13">
    <w:p w:rsidR="00507F7E" w:rsidRPr="00507F7E" w14:paraId="0A319925" w14:textId="5E762E3A">
      <w:pPr>
        <w:pStyle w:val="FootnoteText"/>
        <w:rPr>
          <w:lang w:val="fr-CA"/>
        </w:rPr>
      </w:pPr>
      <w:r>
        <w:rPr>
          <w:rStyle w:val="FootnoteReference"/>
        </w:rPr>
        <w:footnoteRef/>
      </w:r>
      <w:r w:rsidRPr="00507F7E">
        <w:rPr>
          <w:lang w:val="fr-CA"/>
        </w:rPr>
        <w:t xml:space="preserve"> </w:t>
      </w:r>
      <w:r>
        <w:rPr>
          <w:lang w:val="fr-CA"/>
        </w:rPr>
        <w:tab/>
      </w:r>
      <w:r w:rsidRPr="007A4E9C" w:rsidR="007A4E9C">
        <w:rPr>
          <w:i/>
          <w:iCs/>
          <w:lang w:val="fr-CA"/>
        </w:rPr>
        <w:t>L’Oratoire</w:t>
      </w:r>
      <w:r w:rsidR="007A4E9C">
        <w:rPr>
          <w:lang w:val="fr-CA"/>
        </w:rPr>
        <w:t xml:space="preserve">, </w:t>
      </w:r>
      <w:r w:rsidR="007A4E9C">
        <w:rPr>
          <w:i/>
          <w:iCs/>
          <w:lang w:val="fr-CA"/>
        </w:rPr>
        <w:t>supra</w:t>
      </w:r>
      <w:r w:rsidR="007A4E9C">
        <w:rPr>
          <w:lang w:val="fr-CA"/>
        </w:rPr>
        <w:t>, par. 82;</w:t>
      </w:r>
      <w:r w:rsidR="007A4E9C">
        <w:rPr>
          <w:i/>
          <w:iCs/>
          <w:lang w:val="fr-CA"/>
        </w:rPr>
        <w:t xml:space="preserve"> </w:t>
      </w:r>
      <w:r w:rsidRPr="00507F7E">
        <w:rPr>
          <w:i/>
          <w:iCs/>
          <w:lang w:val="fr-CA"/>
        </w:rPr>
        <w:t>Sofio c. Organisme canadien de réglementation du commerce des valeurs mobilières (OCRCVM)</w:t>
      </w:r>
      <w:r w:rsidRPr="00507F7E">
        <w:rPr>
          <w:lang w:val="fr-CA"/>
        </w:rPr>
        <w:t>, 2015 QCCA 1820</w:t>
      </w:r>
      <w:r>
        <w:rPr>
          <w:lang w:val="fr-CA"/>
        </w:rPr>
        <w:t>, par. 10</w:t>
      </w:r>
      <w:r w:rsidR="00B915F4">
        <w:rPr>
          <w:lang w:val="fr-CA"/>
        </w:rPr>
        <w:t>.</w:t>
      </w:r>
    </w:p>
  </w:footnote>
  <w:footnote w:id="14">
    <w:p w:rsidR="00B915F4" w:rsidRPr="00B915F4" w14:paraId="6D2B11DA" w14:textId="508CBCD6">
      <w:pPr>
        <w:pStyle w:val="FootnoteText"/>
        <w:rPr>
          <w:lang w:val="fr-CA"/>
        </w:rPr>
      </w:pPr>
      <w:r>
        <w:rPr>
          <w:rStyle w:val="FootnoteReference"/>
        </w:rPr>
        <w:footnoteRef/>
      </w:r>
      <w:r w:rsidRPr="00B915F4">
        <w:rPr>
          <w:lang w:val="fr-CA"/>
        </w:rPr>
        <w:t xml:space="preserve"> </w:t>
      </w:r>
      <w:r>
        <w:rPr>
          <w:lang w:val="fr-CA"/>
        </w:rPr>
        <w:tab/>
      </w:r>
      <w:r w:rsidRPr="00507F7E">
        <w:rPr>
          <w:i/>
          <w:iCs/>
          <w:lang w:val="fr-CA"/>
        </w:rPr>
        <w:t>Sofio c. Organisme canadien de réglementation du commerce des valeurs mobilières (OCRCVM)</w:t>
      </w:r>
      <w:r w:rsidRPr="00507F7E">
        <w:rPr>
          <w:lang w:val="fr-CA"/>
        </w:rPr>
        <w:t>, 2015 QCCA 1820</w:t>
      </w:r>
      <w:r>
        <w:rPr>
          <w:lang w:val="fr-CA"/>
        </w:rPr>
        <w:t>, par. 10.</w:t>
      </w:r>
    </w:p>
  </w:footnote>
  <w:footnote w:id="15">
    <w:p w:rsidR="00FE15BB" w:rsidRPr="00FE15BB" w14:paraId="2A12E97B" w14:textId="260D2C1B">
      <w:pPr>
        <w:pStyle w:val="FootnoteText"/>
        <w:rPr>
          <w:lang w:val="fr-CA"/>
        </w:rPr>
      </w:pPr>
      <w:r>
        <w:rPr>
          <w:rStyle w:val="FootnoteReference"/>
        </w:rPr>
        <w:footnoteRef/>
      </w:r>
      <w:r w:rsidRPr="00FE15BB">
        <w:rPr>
          <w:lang w:val="fr-CA"/>
        </w:rPr>
        <w:t xml:space="preserve"> </w:t>
      </w:r>
      <w:r>
        <w:rPr>
          <w:lang w:val="fr-CA"/>
        </w:rPr>
        <w:tab/>
      </w:r>
      <w:r>
        <w:rPr>
          <w:i/>
          <w:iCs/>
          <w:lang w:val="fr-CA"/>
        </w:rPr>
        <w:t>L’Oratoire</w:t>
      </w:r>
      <w:r>
        <w:rPr>
          <w:lang w:val="fr-CA"/>
        </w:rPr>
        <w:t xml:space="preserve">, </w:t>
      </w:r>
      <w:r>
        <w:rPr>
          <w:i/>
          <w:iCs/>
          <w:lang w:val="fr-CA"/>
        </w:rPr>
        <w:t>supra</w:t>
      </w:r>
      <w:r>
        <w:rPr>
          <w:lang w:val="fr-CA"/>
        </w:rPr>
        <w:t xml:space="preserve">, par. 82; </w:t>
      </w:r>
      <w:r w:rsidRPr="00FE15BB">
        <w:rPr>
          <w:i/>
          <w:iCs/>
          <w:lang w:val="fr-CA"/>
        </w:rPr>
        <w:t>Banque de Montréal c. Marcotte</w:t>
      </w:r>
      <w:r w:rsidRPr="00FE15BB">
        <w:rPr>
          <w:lang w:val="fr-CA"/>
        </w:rPr>
        <w:t xml:space="preserve">, [2014] 2 RCS 725, </w:t>
      </w:r>
      <w:r>
        <w:rPr>
          <w:lang w:val="fr-CA"/>
        </w:rPr>
        <w:t>par. 29-47.</w:t>
      </w:r>
    </w:p>
  </w:footnote>
  <w:footnote w:id="16">
    <w:p w:rsidR="00FF4DB7" w:rsidRPr="00746871" w:rsidP="00FF4DB7" w14:paraId="7574A6DC" w14:textId="5A873E32">
      <w:pPr>
        <w:pStyle w:val="FootnoteText"/>
        <w:rPr>
          <w:lang w:val="fr-CA"/>
        </w:rPr>
      </w:pPr>
      <w:r>
        <w:rPr>
          <w:rStyle w:val="FootnoteReference"/>
        </w:rPr>
        <w:footnoteRef/>
      </w:r>
      <w:r w:rsidRPr="00746871">
        <w:rPr>
          <w:lang w:val="fr-CA"/>
        </w:rPr>
        <w:t xml:space="preserve"> </w:t>
      </w:r>
      <w:r w:rsidRPr="00746871">
        <w:rPr>
          <w:lang w:val="fr-CA"/>
        </w:rPr>
        <w:tab/>
      </w:r>
      <w:r w:rsidRPr="0034592B">
        <w:rPr>
          <w:i/>
          <w:iCs/>
          <w:lang w:val="fr-CA"/>
        </w:rPr>
        <w:t>L’Oratoire</w:t>
      </w:r>
      <w:r w:rsidR="00B915F4">
        <w:rPr>
          <w:lang w:val="fr-CA"/>
        </w:rPr>
        <w:t xml:space="preserve">, </w:t>
      </w:r>
      <w:r w:rsidR="00B915F4">
        <w:rPr>
          <w:i/>
          <w:iCs/>
          <w:lang w:val="fr-CA"/>
        </w:rPr>
        <w:t>supra</w:t>
      </w:r>
      <w:r w:rsidR="00B915F4">
        <w:rPr>
          <w:lang w:val="fr-CA"/>
        </w:rPr>
        <w:t xml:space="preserve">, </w:t>
      </w:r>
      <w:r>
        <w:rPr>
          <w:lang w:val="fr-CA"/>
        </w:rPr>
        <w:t>par. 59.</w:t>
      </w:r>
    </w:p>
  </w:footnote>
  <w:footnote w:id="17">
    <w:p w:rsidR="00823E36" w:rsidRPr="00823E36" w14:paraId="23437D68" w14:textId="440E6A04">
      <w:pPr>
        <w:pStyle w:val="FootnoteText"/>
        <w:rPr>
          <w:lang w:val="fr-CA"/>
        </w:rPr>
      </w:pPr>
      <w:r>
        <w:rPr>
          <w:rStyle w:val="FootnoteReference"/>
        </w:rPr>
        <w:footnoteRef/>
      </w:r>
      <w:r w:rsidRPr="00823E36">
        <w:rPr>
          <w:lang w:val="fr-CA"/>
        </w:rPr>
        <w:t xml:space="preserve"> </w:t>
      </w:r>
      <w:r>
        <w:rPr>
          <w:lang w:val="fr-CA"/>
        </w:rPr>
        <w:tab/>
      </w:r>
      <w:r w:rsidRPr="00962CDD" w:rsidR="00962CDD">
        <w:rPr>
          <w:i/>
          <w:iCs/>
          <w:lang w:val="fr-CA"/>
        </w:rPr>
        <w:t>Option Consommateurs c. Bell Mobilité</w:t>
      </w:r>
      <w:r w:rsidRPr="00962CDD" w:rsidR="00962CDD">
        <w:rPr>
          <w:lang w:val="fr-CA"/>
        </w:rPr>
        <w:t>, 2008 QCCA 2201</w:t>
      </w:r>
      <w:r w:rsidR="00962CDD">
        <w:rPr>
          <w:lang w:val="fr-CA"/>
        </w:rPr>
        <w:t xml:space="preserve">, par. 38; </w:t>
      </w:r>
      <w:r w:rsidRPr="00EC226E" w:rsidR="00EC226E">
        <w:rPr>
          <w:i/>
          <w:iCs/>
          <w:lang w:val="fr-CA"/>
        </w:rPr>
        <w:t>Karras c. Société des loteries du Québec</w:t>
      </w:r>
      <w:r w:rsidRPr="00EC226E" w:rsidR="00EC226E">
        <w:rPr>
          <w:lang w:val="fr-CA"/>
        </w:rPr>
        <w:t>, 2019 QCCA 813</w:t>
      </w:r>
      <w:r w:rsidR="00EC226E">
        <w:rPr>
          <w:lang w:val="fr-CA"/>
        </w:rPr>
        <w:t xml:space="preserve">, par. 28; </w:t>
      </w:r>
      <w:r w:rsidRPr="00EC226E" w:rsidR="00EC226E">
        <w:rPr>
          <w:i/>
          <w:iCs/>
          <w:lang w:val="fr-CA"/>
        </w:rPr>
        <w:t>Cozak c. Procureur général du Québec</w:t>
      </w:r>
      <w:r w:rsidRPr="00EC226E" w:rsidR="00EC226E">
        <w:rPr>
          <w:lang w:val="fr-CA"/>
        </w:rPr>
        <w:t>, 2021 QCCA 1376</w:t>
      </w:r>
      <w:r w:rsidR="00EC226E">
        <w:rPr>
          <w:lang w:val="fr-CA"/>
        </w:rPr>
        <w:t>, par. 7</w:t>
      </w:r>
      <w:r w:rsidR="00124DA8">
        <w:rPr>
          <w:lang w:val="fr-CA"/>
        </w:rPr>
        <w:t xml:space="preserve"> (demande d’autorisation de pourvoi rejetée, C.S.C., 2022-03-24, n° 39964).</w:t>
      </w:r>
    </w:p>
  </w:footnote>
  <w:footnote w:id="18">
    <w:p w:rsidR="00EC226E" w:rsidRPr="00EC226E" w:rsidP="00FD3121" w14:paraId="3CC51FBC" w14:textId="6A30B472">
      <w:pPr>
        <w:pStyle w:val="FootnoteText"/>
        <w:rPr>
          <w:lang w:val="fr-CA"/>
        </w:rPr>
      </w:pPr>
      <w:r>
        <w:rPr>
          <w:rStyle w:val="FootnoteReference"/>
        </w:rPr>
        <w:footnoteRef/>
      </w:r>
      <w:r w:rsidRPr="00EC226E">
        <w:rPr>
          <w:lang w:val="fr-CA"/>
        </w:rPr>
        <w:t xml:space="preserve"> </w:t>
      </w:r>
      <w:r>
        <w:rPr>
          <w:lang w:val="fr-CA"/>
        </w:rPr>
        <w:tab/>
      </w:r>
      <w:r w:rsidRPr="00962CDD" w:rsidR="00FD3121">
        <w:rPr>
          <w:i/>
          <w:iCs/>
          <w:lang w:val="fr-CA"/>
        </w:rPr>
        <w:t>Option Consommateurs c. Bell Mobilité</w:t>
      </w:r>
      <w:r w:rsidRPr="00962CDD" w:rsidR="00FD3121">
        <w:rPr>
          <w:lang w:val="fr-CA"/>
        </w:rPr>
        <w:t>, 2008 QCCA 2201</w:t>
      </w:r>
      <w:r w:rsidR="00FD3121">
        <w:rPr>
          <w:lang w:val="fr-CA"/>
        </w:rPr>
        <w:t xml:space="preserve">, par. 38; </w:t>
      </w:r>
      <w:r w:rsidRPr="00EC226E" w:rsidR="00FD3121">
        <w:rPr>
          <w:i/>
          <w:iCs/>
          <w:lang w:val="fr-CA"/>
        </w:rPr>
        <w:t>Karras c. Société des loteries du Québec</w:t>
      </w:r>
      <w:r w:rsidRPr="00EC226E" w:rsidR="00FD3121">
        <w:rPr>
          <w:lang w:val="fr-CA"/>
        </w:rPr>
        <w:t>, 2019 QCCA 813</w:t>
      </w:r>
      <w:r w:rsidR="00FD3121">
        <w:rPr>
          <w:lang w:val="fr-CA"/>
        </w:rPr>
        <w:t xml:space="preserve">, par. 28; </w:t>
      </w:r>
      <w:r w:rsidRPr="00EC226E" w:rsidR="00FD3121">
        <w:rPr>
          <w:i/>
          <w:iCs/>
          <w:lang w:val="fr-CA"/>
        </w:rPr>
        <w:t>Cozak c. Procureur général du Québec</w:t>
      </w:r>
      <w:r w:rsidRPr="00EC226E" w:rsidR="00FD3121">
        <w:rPr>
          <w:lang w:val="fr-CA"/>
        </w:rPr>
        <w:t>, 2021 QCCA 1376</w:t>
      </w:r>
      <w:r w:rsidR="00FD3121">
        <w:rPr>
          <w:lang w:val="fr-CA"/>
        </w:rPr>
        <w:t>, par. 7 (demande d’autorisation de pourvoi rejetée, C.S.C., 2022-03-24, n° 39964).</w:t>
      </w:r>
    </w:p>
  </w:footnote>
  <w:footnote w:id="19">
    <w:p w:rsidR="00FF4DB7" w:rsidRPr="00746871" w:rsidP="00FF4DB7" w14:paraId="173249E0" w14:textId="5EFE665C">
      <w:pPr>
        <w:pStyle w:val="FootnoteText"/>
        <w:rPr>
          <w:lang w:val="fr-CA"/>
        </w:rPr>
      </w:pPr>
      <w:r>
        <w:rPr>
          <w:rStyle w:val="FootnoteReference"/>
        </w:rPr>
        <w:footnoteRef/>
      </w:r>
      <w:r w:rsidRPr="00746871">
        <w:rPr>
          <w:lang w:val="fr-CA"/>
        </w:rPr>
        <w:t xml:space="preserve"> </w:t>
      </w:r>
      <w:r w:rsidRPr="00746871">
        <w:rPr>
          <w:lang w:val="fr-CA"/>
        </w:rPr>
        <w:tab/>
      </w:r>
      <w:r w:rsidRPr="00746871">
        <w:rPr>
          <w:i/>
          <w:iCs/>
          <w:lang w:val="fr-CA"/>
        </w:rPr>
        <w:t>L’Oratoire</w:t>
      </w:r>
      <w:r w:rsidR="00B915F4">
        <w:rPr>
          <w:lang w:val="fr-CA"/>
        </w:rPr>
        <w:t xml:space="preserve">, </w:t>
      </w:r>
      <w:r w:rsidR="00B915F4">
        <w:rPr>
          <w:i/>
          <w:iCs/>
          <w:lang w:val="fr-CA"/>
        </w:rPr>
        <w:t>supra</w:t>
      </w:r>
      <w:r w:rsidR="00B915F4">
        <w:rPr>
          <w:lang w:val="fr-CA"/>
        </w:rPr>
        <w:t xml:space="preserve">, </w:t>
      </w:r>
      <w:r w:rsidRPr="00746871">
        <w:rPr>
          <w:lang w:val="fr-CA"/>
        </w:rPr>
        <w:t>par.</w:t>
      </w:r>
      <w:r>
        <w:rPr>
          <w:lang w:val="fr-CA"/>
        </w:rPr>
        <w:t xml:space="preserve"> 59</w:t>
      </w:r>
      <w:r w:rsidRPr="00746871">
        <w:rPr>
          <w:lang w:val="fr-CA"/>
        </w:rPr>
        <w:t xml:space="preserve">; </w:t>
      </w:r>
      <w:r w:rsidRPr="00746871">
        <w:rPr>
          <w:i/>
          <w:iCs/>
          <w:lang w:val="fr-CA"/>
        </w:rPr>
        <w:t>Infineon</w:t>
      </w:r>
      <w:r w:rsidR="00B915F4">
        <w:rPr>
          <w:lang w:val="fr-CA"/>
        </w:rPr>
        <w:t xml:space="preserve">, </w:t>
      </w:r>
      <w:r w:rsidR="00B915F4">
        <w:rPr>
          <w:i/>
          <w:iCs/>
          <w:lang w:val="fr-CA"/>
        </w:rPr>
        <w:t>supra</w:t>
      </w:r>
      <w:r w:rsidR="00B915F4">
        <w:rPr>
          <w:lang w:val="fr-CA"/>
        </w:rPr>
        <w:t xml:space="preserve">, </w:t>
      </w:r>
      <w:r w:rsidRPr="00746871">
        <w:rPr>
          <w:lang w:val="fr-CA"/>
        </w:rPr>
        <w:t xml:space="preserve">par. </w:t>
      </w:r>
      <w:r>
        <w:rPr>
          <w:lang w:val="fr-CA"/>
        </w:rPr>
        <w:t xml:space="preserve">134; </w:t>
      </w:r>
      <w:r w:rsidRPr="00117084">
        <w:rPr>
          <w:i/>
          <w:iCs/>
          <w:lang w:val="fr-CA"/>
        </w:rPr>
        <w:t>Homsy c. Google</w:t>
      </w:r>
      <w:r w:rsidRPr="00746871">
        <w:rPr>
          <w:lang w:val="fr-CA"/>
        </w:rPr>
        <w:t>, 2023 QCCA 1220</w:t>
      </w:r>
      <w:r>
        <w:rPr>
          <w:lang w:val="fr-CA"/>
        </w:rPr>
        <w:t xml:space="preserve">, par. 24; </w:t>
      </w:r>
      <w:r w:rsidRPr="00117084">
        <w:rPr>
          <w:i/>
          <w:iCs/>
          <w:lang w:val="fr-CA"/>
        </w:rPr>
        <w:t>Samsung Electronics Canada c. Arial</w:t>
      </w:r>
      <w:r w:rsidRPr="00117084">
        <w:rPr>
          <w:lang w:val="fr-CA"/>
        </w:rPr>
        <w:t>, 2024 QCCA 1195</w:t>
      </w:r>
      <w:r>
        <w:rPr>
          <w:lang w:val="fr-CA"/>
        </w:rPr>
        <w:t>, par. 34</w:t>
      </w:r>
      <w:r w:rsidR="00124DA8">
        <w:rPr>
          <w:lang w:val="fr-CA"/>
        </w:rPr>
        <w:t xml:space="preserve"> (demandes d’autorisation de pourvoi rejetées, C.S.C., 2025-05-29, n° 41548 et n° 41555)</w:t>
      </w:r>
      <w:r w:rsidR="0061741E">
        <w:rPr>
          <w:lang w:val="fr-CA"/>
        </w:rPr>
        <w:t xml:space="preserve">; </w:t>
      </w:r>
      <w:r w:rsidRPr="0061741E" w:rsidR="0061741E">
        <w:rPr>
          <w:i/>
          <w:iCs/>
          <w:lang w:val="fr-CA"/>
        </w:rPr>
        <w:t>Gaudreault c. Brault &amp; Martineau inc.</w:t>
      </w:r>
      <w:r w:rsidRPr="0061741E" w:rsidR="0061741E">
        <w:rPr>
          <w:lang w:val="fr-CA"/>
        </w:rPr>
        <w:t>, 2024 QCCS 8</w:t>
      </w:r>
      <w:r w:rsidR="0061741E">
        <w:rPr>
          <w:lang w:val="fr-CA"/>
        </w:rPr>
        <w:t>, par. 73.2</w:t>
      </w:r>
      <w:r>
        <w:rPr>
          <w:lang w:val="fr-CA"/>
        </w:rPr>
        <w:t>.</w:t>
      </w:r>
    </w:p>
  </w:footnote>
  <w:footnote w:id="20">
    <w:p w:rsidR="00054164" w:rsidRPr="00F1701D" w:rsidP="00054164" w14:paraId="5A9EF83B" w14:textId="25607545">
      <w:pPr>
        <w:pStyle w:val="FootnoteText"/>
      </w:pPr>
      <w:r>
        <w:rPr>
          <w:rStyle w:val="FootnoteReference"/>
        </w:rPr>
        <w:footnoteRef/>
      </w:r>
      <w:r w:rsidRPr="00F1701D">
        <w:t xml:space="preserve"> </w:t>
      </w:r>
      <w:r w:rsidRPr="00F1701D">
        <w:tab/>
      </w:r>
      <w:r w:rsidRPr="00F1701D">
        <w:rPr>
          <w:i/>
          <w:iCs/>
        </w:rPr>
        <w:t>Amended Application to Authorize the Bringing of a Class Action</w:t>
      </w:r>
      <w:r w:rsidRPr="00F1701D">
        <w:t xml:space="preserve"> du 23 janvier 2023 (« </w:t>
      </w:r>
      <w:r w:rsidRPr="00F1701D">
        <w:rPr>
          <w:b/>
          <w:bCs/>
        </w:rPr>
        <w:t>Demande</w:t>
      </w:r>
      <w:r w:rsidRPr="00F1701D" w:rsidR="00B35B47">
        <w:rPr>
          <w:b/>
          <w:bCs/>
        </w:rPr>
        <w:t xml:space="preserve"> </w:t>
      </w:r>
      <w:r w:rsidRPr="00F1701D" w:rsidR="00F1701D">
        <w:rPr>
          <w:b/>
          <w:bCs/>
        </w:rPr>
        <w:t>d</w:t>
      </w:r>
      <w:r w:rsidR="00F1701D">
        <w:rPr>
          <w:b/>
          <w:bCs/>
        </w:rPr>
        <w:t>’</w:t>
      </w:r>
      <w:r w:rsidRPr="00F1701D" w:rsidR="00B35B47">
        <w:rPr>
          <w:b/>
          <w:bCs/>
        </w:rPr>
        <w:t>autorisation</w:t>
      </w:r>
      <w:r w:rsidRPr="00F1701D">
        <w:t xml:space="preserve"> »), par. 23. </w:t>
      </w:r>
    </w:p>
  </w:footnote>
  <w:footnote w:id="21">
    <w:p w:rsidR="00CF699A" w:rsidRPr="00CF699A" w14:paraId="4D3154F9" w14:textId="0E87F1F2">
      <w:pPr>
        <w:pStyle w:val="FootnoteText"/>
        <w:rPr>
          <w:lang w:val="fr-CA"/>
        </w:rPr>
      </w:pPr>
      <w:r>
        <w:rPr>
          <w:rStyle w:val="FootnoteReference"/>
        </w:rPr>
        <w:footnoteRef/>
      </w:r>
      <w:r w:rsidRPr="00CF699A">
        <w:rPr>
          <w:lang w:val="fr-CA"/>
        </w:rPr>
        <w:t xml:space="preserve"> </w:t>
      </w:r>
      <w:r>
        <w:rPr>
          <w:lang w:val="fr-CA"/>
        </w:rPr>
        <w:tab/>
      </w:r>
      <w:r w:rsidR="00F1701D">
        <w:rPr>
          <w:lang w:val="fr-CA"/>
        </w:rPr>
        <w:t>Demande d’autorisation</w:t>
      </w:r>
      <w:r>
        <w:rPr>
          <w:lang w:val="fr-CA"/>
        </w:rPr>
        <w:t>, par. 30.</w:t>
      </w:r>
    </w:p>
  </w:footnote>
  <w:footnote w:id="22">
    <w:p w:rsidR="00CF699A" w:rsidRPr="00CF699A" w14:paraId="5B414CFE" w14:textId="58100148">
      <w:pPr>
        <w:pStyle w:val="FootnoteText"/>
        <w:rPr>
          <w:lang w:val="fr-CA"/>
        </w:rPr>
      </w:pPr>
      <w:r>
        <w:rPr>
          <w:rStyle w:val="FootnoteReference"/>
        </w:rPr>
        <w:footnoteRef/>
      </w:r>
      <w:r w:rsidRPr="00CF699A">
        <w:rPr>
          <w:lang w:val="fr-CA"/>
        </w:rPr>
        <w:t xml:space="preserve"> </w:t>
      </w:r>
      <w:r>
        <w:rPr>
          <w:lang w:val="fr-CA"/>
        </w:rPr>
        <w:tab/>
      </w:r>
      <w:r w:rsidR="00F1701D">
        <w:rPr>
          <w:lang w:val="fr-CA"/>
        </w:rPr>
        <w:t>Demande d’autorisation</w:t>
      </w:r>
      <w:r>
        <w:rPr>
          <w:lang w:val="fr-CA"/>
        </w:rPr>
        <w:t>, par. 23-24.</w:t>
      </w:r>
    </w:p>
  </w:footnote>
  <w:footnote w:id="23">
    <w:p w:rsidR="00CF699A" w:rsidRPr="00CF699A" w14:paraId="5B756228" w14:textId="283234DB">
      <w:pPr>
        <w:pStyle w:val="FootnoteText"/>
        <w:rPr>
          <w:lang w:val="fr-CA"/>
        </w:rPr>
      </w:pPr>
      <w:r>
        <w:rPr>
          <w:rStyle w:val="FootnoteReference"/>
        </w:rPr>
        <w:footnoteRef/>
      </w:r>
      <w:r w:rsidRPr="00CF699A">
        <w:rPr>
          <w:lang w:val="fr-CA"/>
        </w:rPr>
        <w:t xml:space="preserve"> </w:t>
      </w:r>
      <w:r>
        <w:rPr>
          <w:lang w:val="fr-CA"/>
        </w:rPr>
        <w:tab/>
      </w:r>
      <w:r w:rsidR="00F1701D">
        <w:rPr>
          <w:lang w:val="fr-CA"/>
        </w:rPr>
        <w:t>Demande d’autorisation</w:t>
      </w:r>
      <w:r>
        <w:rPr>
          <w:lang w:val="fr-CA"/>
        </w:rPr>
        <w:t>, par. 31-32.</w:t>
      </w:r>
    </w:p>
  </w:footnote>
  <w:footnote w:id="24">
    <w:p w:rsidR="00054164" w:rsidRPr="00054164" w14:paraId="0BFAB0EE" w14:textId="2A7FF4C9">
      <w:pPr>
        <w:pStyle w:val="FootnoteText"/>
        <w:rPr>
          <w:lang w:val="fr-CA"/>
        </w:rPr>
      </w:pPr>
      <w:r>
        <w:rPr>
          <w:rStyle w:val="FootnoteReference"/>
        </w:rPr>
        <w:footnoteRef/>
      </w:r>
      <w:r w:rsidRPr="00CF699A">
        <w:rPr>
          <w:lang w:val="fr-CA"/>
        </w:rPr>
        <w:t xml:space="preserve"> </w:t>
      </w:r>
      <w:r>
        <w:rPr>
          <w:lang w:val="fr-CA"/>
        </w:rPr>
        <w:tab/>
      </w:r>
      <w:r w:rsidR="00F1701D">
        <w:rPr>
          <w:lang w:val="fr-CA"/>
        </w:rPr>
        <w:t>Demande d’autorisation</w:t>
      </w:r>
      <w:r>
        <w:rPr>
          <w:lang w:val="fr-CA"/>
        </w:rPr>
        <w:t>, par. 22-23.</w:t>
      </w:r>
    </w:p>
  </w:footnote>
  <w:footnote w:id="25">
    <w:p w:rsidR="00117084" w:rsidRPr="00054164" w:rsidP="00117084" w14:paraId="6C0A7E6E" w14:textId="38ED1B5C">
      <w:pPr>
        <w:pStyle w:val="FootnoteText"/>
        <w:rPr>
          <w:lang w:val="fr-CA"/>
        </w:rPr>
      </w:pPr>
      <w:r>
        <w:rPr>
          <w:rStyle w:val="FootnoteReference"/>
        </w:rPr>
        <w:footnoteRef/>
      </w:r>
      <w:r w:rsidRPr="00CF699A">
        <w:rPr>
          <w:lang w:val="fr-CA"/>
        </w:rPr>
        <w:t xml:space="preserve"> </w:t>
      </w:r>
      <w:r>
        <w:rPr>
          <w:lang w:val="fr-CA"/>
        </w:rPr>
        <w:tab/>
      </w:r>
      <w:r w:rsidR="00F1701D">
        <w:rPr>
          <w:lang w:val="fr-CA"/>
        </w:rPr>
        <w:t>Demande d’autorisation</w:t>
      </w:r>
      <w:r>
        <w:rPr>
          <w:lang w:val="fr-CA"/>
        </w:rPr>
        <w:t>, par. 23, 31-32.</w:t>
      </w:r>
    </w:p>
  </w:footnote>
  <w:footnote w:id="26">
    <w:p w:rsidR="00117084" w:rsidRPr="00117084" w14:paraId="70BB1955" w14:textId="485AB0B0">
      <w:pPr>
        <w:pStyle w:val="FootnoteText"/>
        <w:rPr>
          <w:lang w:val="fr-CA"/>
        </w:rPr>
      </w:pPr>
      <w:r>
        <w:rPr>
          <w:rStyle w:val="FootnoteReference"/>
        </w:rPr>
        <w:footnoteRef/>
      </w:r>
      <w:r w:rsidRPr="00117084">
        <w:rPr>
          <w:lang w:val="fr-CA"/>
        </w:rPr>
        <w:t xml:space="preserve"> </w:t>
      </w:r>
      <w:r w:rsidR="00B35B47">
        <w:rPr>
          <w:lang w:val="fr-CA"/>
        </w:rPr>
        <w:tab/>
      </w:r>
      <w:r w:rsidR="00F1701D">
        <w:rPr>
          <w:lang w:val="fr-CA"/>
        </w:rPr>
        <w:t>Demande d’autorisation</w:t>
      </w:r>
      <w:r w:rsidR="0025111D">
        <w:rPr>
          <w:lang w:val="fr-CA"/>
        </w:rPr>
        <w:t>, par. 3.</w:t>
      </w:r>
    </w:p>
  </w:footnote>
  <w:footnote w:id="27">
    <w:p w:rsidR="00054164" w:rsidRPr="00054164" w14:paraId="66069E07" w14:textId="60886BFF">
      <w:pPr>
        <w:pStyle w:val="FootnoteText"/>
        <w:rPr>
          <w:lang w:val="fr-CA"/>
        </w:rPr>
      </w:pPr>
      <w:r>
        <w:rPr>
          <w:rStyle w:val="FootnoteReference"/>
        </w:rPr>
        <w:footnoteRef/>
      </w:r>
      <w:r w:rsidRPr="00054164">
        <w:rPr>
          <w:lang w:val="fr-CA"/>
        </w:rPr>
        <w:t xml:space="preserve"> </w:t>
      </w:r>
      <w:r>
        <w:rPr>
          <w:lang w:val="fr-CA"/>
        </w:rPr>
        <w:tab/>
      </w:r>
      <w:r w:rsidR="00F1701D">
        <w:rPr>
          <w:lang w:val="fr-CA"/>
        </w:rPr>
        <w:t>Demande d’autorisation</w:t>
      </w:r>
      <w:r>
        <w:rPr>
          <w:lang w:val="fr-CA"/>
        </w:rPr>
        <w:t>, par. 5 et pièce P-3.</w:t>
      </w:r>
    </w:p>
  </w:footnote>
  <w:footnote w:id="28">
    <w:p w:rsidR="00E0520B" w:rsidRPr="00836126" w:rsidP="00E0520B" w14:paraId="160FDF8A" w14:textId="67B9B1E8">
      <w:pPr>
        <w:pStyle w:val="FootnoteText"/>
        <w:rPr>
          <w:lang w:val="fr-CA"/>
        </w:rPr>
      </w:pPr>
      <w:r>
        <w:rPr>
          <w:rStyle w:val="FootnoteReference"/>
        </w:rPr>
        <w:footnoteRef/>
      </w:r>
      <w:r w:rsidRPr="00C56A95">
        <w:rPr>
          <w:lang w:val="fr-CA"/>
        </w:rPr>
        <w:t xml:space="preserve"> </w:t>
      </w:r>
      <w:r>
        <w:rPr>
          <w:lang w:val="fr-CA"/>
        </w:rPr>
        <w:tab/>
      </w:r>
      <w:r w:rsidR="00F1701D">
        <w:rPr>
          <w:lang w:val="fr-CA"/>
        </w:rPr>
        <w:t>Demande d’autorisation</w:t>
      </w:r>
      <w:r>
        <w:rPr>
          <w:lang w:val="fr-CA"/>
        </w:rPr>
        <w:t>, par. 6.</w:t>
      </w:r>
    </w:p>
  </w:footnote>
  <w:footnote w:id="29">
    <w:p w:rsidR="008E0450" w:rsidRPr="00BF43F3" w:rsidP="008E0450" w14:paraId="4D9A6921" w14:textId="24B25148">
      <w:pPr>
        <w:pStyle w:val="FootnoteText"/>
        <w:rPr>
          <w:lang w:val="fr-CA"/>
        </w:rPr>
      </w:pPr>
      <w:r>
        <w:rPr>
          <w:rStyle w:val="FootnoteReference"/>
        </w:rPr>
        <w:footnoteRef/>
      </w:r>
      <w:r w:rsidRPr="006633D0">
        <w:rPr>
          <w:lang w:val="fr-CA"/>
        </w:rPr>
        <w:t xml:space="preserve"> </w:t>
      </w:r>
      <w:r>
        <w:rPr>
          <w:lang w:val="fr-CA"/>
        </w:rPr>
        <w:tab/>
      </w:r>
      <w:r w:rsidR="00F1701D">
        <w:rPr>
          <w:lang w:val="fr-CA"/>
        </w:rPr>
        <w:t>Demande d’autorisation</w:t>
      </w:r>
      <w:r>
        <w:rPr>
          <w:lang w:val="fr-CA"/>
        </w:rPr>
        <w:t>, par. 40-42.</w:t>
      </w:r>
    </w:p>
  </w:footnote>
  <w:footnote w:id="30">
    <w:p w:rsidR="00E50678" w:rsidRPr="00C93DBD" w:rsidP="00E50678" w14:paraId="679BC222" w14:textId="54BC5281">
      <w:pPr>
        <w:pStyle w:val="FootnoteText"/>
        <w:rPr>
          <w:lang w:val="fr-CA"/>
        </w:rPr>
      </w:pPr>
      <w:r>
        <w:rPr>
          <w:rStyle w:val="FootnoteReference"/>
        </w:rPr>
        <w:footnoteRef/>
      </w:r>
      <w:r w:rsidRPr="00C93DBD">
        <w:rPr>
          <w:lang w:val="fr-CA"/>
        </w:rPr>
        <w:t xml:space="preserve"> </w:t>
      </w:r>
      <w:r>
        <w:rPr>
          <w:lang w:val="fr-CA"/>
        </w:rPr>
        <w:tab/>
      </w:r>
      <w:r w:rsidR="00F1701D">
        <w:rPr>
          <w:lang w:val="fr-CA"/>
        </w:rPr>
        <w:t>Demande d’autorisation</w:t>
      </w:r>
      <w:r>
        <w:rPr>
          <w:lang w:val="fr-CA"/>
        </w:rPr>
        <w:t>, par. 40-42, 46 et 49.</w:t>
      </w:r>
    </w:p>
  </w:footnote>
  <w:footnote w:id="31">
    <w:p w:rsidR="00FC4BA3" w:rsidRPr="006633D0" w:rsidP="00FC4BA3" w14:paraId="4BD2AD8E" w14:textId="7CF5CD55">
      <w:pPr>
        <w:pStyle w:val="FootnoteText"/>
        <w:rPr>
          <w:lang w:val="fr-CA"/>
        </w:rPr>
      </w:pPr>
      <w:r>
        <w:rPr>
          <w:rStyle w:val="FootnoteReference"/>
        </w:rPr>
        <w:footnoteRef/>
      </w:r>
      <w:r w:rsidRPr="006633D0">
        <w:rPr>
          <w:lang w:val="fr-CA"/>
        </w:rPr>
        <w:t xml:space="preserve"> </w:t>
      </w:r>
      <w:r>
        <w:rPr>
          <w:lang w:val="fr-CA"/>
        </w:rPr>
        <w:tab/>
      </w:r>
      <w:r w:rsidR="00F1701D">
        <w:rPr>
          <w:lang w:val="fr-CA"/>
        </w:rPr>
        <w:t>Demande d’autorisation</w:t>
      </w:r>
      <w:r>
        <w:rPr>
          <w:lang w:val="fr-CA"/>
        </w:rPr>
        <w:t>, par. 10-12.</w:t>
      </w:r>
    </w:p>
  </w:footnote>
  <w:footnote w:id="32">
    <w:p w:rsidR="000E0184" w:rsidRPr="000E0184" w14:paraId="12C1EEFC" w14:textId="14F93886">
      <w:pPr>
        <w:pStyle w:val="FootnoteText"/>
        <w:rPr>
          <w:lang w:val="fr-CA"/>
        </w:rPr>
      </w:pPr>
      <w:r>
        <w:rPr>
          <w:rStyle w:val="FootnoteReference"/>
        </w:rPr>
        <w:footnoteRef/>
      </w:r>
      <w:r w:rsidRPr="000E0184">
        <w:rPr>
          <w:lang w:val="fr-CA"/>
        </w:rPr>
        <w:t xml:space="preserve"> </w:t>
      </w:r>
      <w:r>
        <w:rPr>
          <w:lang w:val="fr-CA"/>
        </w:rPr>
        <w:tab/>
        <w:t>Pièce P-12, p. 2.</w:t>
      </w:r>
      <w:r w:rsidR="00B72383">
        <w:rPr>
          <w:lang w:val="fr-CA"/>
        </w:rPr>
        <w:t xml:space="preserve"> Selon cette preuve, les substituts laitiers se vendent jusqu’à</w:t>
      </w:r>
      <w:r w:rsidRPr="007F6409" w:rsidR="00B72383">
        <w:rPr>
          <w:lang w:val="fr-CA"/>
        </w:rPr>
        <w:t xml:space="preserve"> 20%</w:t>
      </w:r>
      <w:r w:rsidR="00B72383">
        <w:rPr>
          <w:lang w:val="fr-CA"/>
        </w:rPr>
        <w:t xml:space="preserve"> plus cher que le lait de vache dans</w:t>
      </w:r>
      <w:r w:rsidRPr="007F6409" w:rsidR="00B72383">
        <w:rPr>
          <w:lang w:val="fr-CA"/>
        </w:rPr>
        <w:t xml:space="preserve"> d’autres provinces canadiennes</w:t>
      </w:r>
      <w:r w:rsidR="00B72383">
        <w:rPr>
          <w:lang w:val="fr-CA"/>
        </w:rPr>
        <w:t>.</w:t>
      </w:r>
    </w:p>
  </w:footnote>
  <w:footnote w:id="33">
    <w:p w:rsidR="00B10071" w:rsidRPr="00B10071" w14:paraId="5EA42C0D" w14:textId="30DE5B04">
      <w:pPr>
        <w:pStyle w:val="FootnoteText"/>
        <w:rPr>
          <w:lang w:val="fr-CA"/>
        </w:rPr>
      </w:pPr>
      <w:r>
        <w:rPr>
          <w:rStyle w:val="FootnoteReference"/>
        </w:rPr>
        <w:footnoteRef/>
      </w:r>
      <w:r w:rsidRPr="00B10071">
        <w:rPr>
          <w:lang w:val="fr-CA"/>
        </w:rPr>
        <w:t xml:space="preserve"> </w:t>
      </w:r>
      <w:r>
        <w:rPr>
          <w:lang w:val="fr-CA"/>
        </w:rPr>
        <w:tab/>
      </w:r>
      <w:r w:rsidR="00F1701D">
        <w:rPr>
          <w:lang w:val="fr-CA"/>
        </w:rPr>
        <w:t>Voir le</w:t>
      </w:r>
      <w:r w:rsidR="004246AF">
        <w:rPr>
          <w:lang w:val="fr-CA"/>
        </w:rPr>
        <w:t xml:space="preserve"> </w:t>
      </w:r>
      <w:r w:rsidRPr="00B10071">
        <w:rPr>
          <w:i/>
          <w:iCs/>
          <w:lang w:val="fr-CA"/>
        </w:rPr>
        <w:t>Règlement sur les prix du lait de consommation</w:t>
      </w:r>
      <w:r w:rsidRPr="00B10071">
        <w:rPr>
          <w:lang w:val="fr-CA"/>
        </w:rPr>
        <w:t>, RLRQ c</w:t>
      </w:r>
      <w:r>
        <w:rPr>
          <w:lang w:val="fr-CA"/>
        </w:rPr>
        <w:t>.</w:t>
      </w:r>
      <w:r w:rsidRPr="00B10071">
        <w:rPr>
          <w:lang w:val="fr-CA"/>
        </w:rPr>
        <w:t xml:space="preserve"> M-35.1, r</w:t>
      </w:r>
      <w:r>
        <w:rPr>
          <w:lang w:val="fr-CA"/>
        </w:rPr>
        <w:t>. </w:t>
      </w:r>
      <w:r w:rsidRPr="00B10071">
        <w:rPr>
          <w:lang w:val="fr-CA"/>
        </w:rPr>
        <w:t>206</w:t>
      </w:r>
      <w:r w:rsidR="00F1701D">
        <w:rPr>
          <w:lang w:val="fr-CA"/>
        </w:rPr>
        <w:t>, qui</w:t>
      </w:r>
      <w:r w:rsidR="004246AF">
        <w:rPr>
          <w:lang w:val="fr-CA"/>
        </w:rPr>
        <w:t xml:space="preserve"> prévoit que le lait de vache ne peut pas être vendu à un consommateur en deçà d’un prix plancher ou au-delà d’un prix plafond.</w:t>
      </w:r>
    </w:p>
  </w:footnote>
  <w:footnote w:id="34">
    <w:p w:rsidR="006D334E" w:rsidRPr="00746871" w:rsidP="006D334E" w14:paraId="131F14A7" w14:textId="37A5D8F3">
      <w:pPr>
        <w:pStyle w:val="FootnoteText"/>
        <w:rPr>
          <w:lang w:val="fr-CA"/>
        </w:rPr>
      </w:pPr>
      <w:r>
        <w:rPr>
          <w:rStyle w:val="FootnoteReference"/>
        </w:rPr>
        <w:footnoteRef/>
      </w:r>
      <w:r w:rsidRPr="00746871">
        <w:rPr>
          <w:lang w:val="fr-CA"/>
        </w:rPr>
        <w:t xml:space="preserve"> </w:t>
      </w:r>
      <w:r w:rsidRPr="00746871">
        <w:rPr>
          <w:lang w:val="fr-CA"/>
        </w:rPr>
        <w:tab/>
      </w:r>
      <w:r w:rsidRPr="00746871">
        <w:rPr>
          <w:i/>
          <w:iCs/>
          <w:lang w:val="fr-CA"/>
        </w:rPr>
        <w:t>L’Oratoire</w:t>
      </w:r>
      <w:r>
        <w:rPr>
          <w:lang w:val="fr-CA"/>
        </w:rPr>
        <w:t xml:space="preserve">, </w:t>
      </w:r>
      <w:r>
        <w:rPr>
          <w:i/>
          <w:iCs/>
          <w:lang w:val="fr-CA"/>
        </w:rPr>
        <w:t>supra</w:t>
      </w:r>
      <w:r>
        <w:rPr>
          <w:lang w:val="fr-CA"/>
        </w:rPr>
        <w:t xml:space="preserve">, </w:t>
      </w:r>
      <w:r w:rsidRPr="00746871">
        <w:rPr>
          <w:lang w:val="fr-CA"/>
        </w:rPr>
        <w:t>par.</w:t>
      </w:r>
      <w:r>
        <w:rPr>
          <w:lang w:val="fr-CA"/>
        </w:rPr>
        <w:t xml:space="preserve"> 59</w:t>
      </w:r>
      <w:r w:rsidRPr="00746871">
        <w:rPr>
          <w:lang w:val="fr-CA"/>
        </w:rPr>
        <w:t xml:space="preserve">; </w:t>
      </w:r>
      <w:r w:rsidRPr="00746871">
        <w:rPr>
          <w:i/>
          <w:iCs/>
          <w:lang w:val="fr-CA"/>
        </w:rPr>
        <w:t>Infineon</w:t>
      </w:r>
      <w:r>
        <w:rPr>
          <w:lang w:val="fr-CA"/>
        </w:rPr>
        <w:t xml:space="preserve">, </w:t>
      </w:r>
      <w:r>
        <w:rPr>
          <w:i/>
          <w:iCs/>
          <w:lang w:val="fr-CA"/>
        </w:rPr>
        <w:t>supra</w:t>
      </w:r>
      <w:r>
        <w:rPr>
          <w:lang w:val="fr-CA"/>
        </w:rPr>
        <w:t xml:space="preserve">, </w:t>
      </w:r>
      <w:r w:rsidRPr="00746871">
        <w:rPr>
          <w:lang w:val="fr-CA"/>
        </w:rPr>
        <w:t xml:space="preserve">par. </w:t>
      </w:r>
      <w:r>
        <w:rPr>
          <w:lang w:val="fr-CA"/>
        </w:rPr>
        <w:t xml:space="preserve">134; </w:t>
      </w:r>
      <w:r w:rsidRPr="00117084">
        <w:rPr>
          <w:i/>
          <w:iCs/>
          <w:lang w:val="fr-CA"/>
        </w:rPr>
        <w:t>Homsy c. Google</w:t>
      </w:r>
      <w:r w:rsidRPr="00746871">
        <w:rPr>
          <w:lang w:val="fr-CA"/>
        </w:rPr>
        <w:t>, 2023 QCCA 1220</w:t>
      </w:r>
      <w:r>
        <w:rPr>
          <w:lang w:val="fr-CA"/>
        </w:rPr>
        <w:t xml:space="preserve">, par. 24; </w:t>
      </w:r>
      <w:r w:rsidRPr="00117084">
        <w:rPr>
          <w:i/>
          <w:iCs/>
          <w:lang w:val="fr-CA"/>
        </w:rPr>
        <w:t>Samsung Electronics Canada c. Arial</w:t>
      </w:r>
      <w:r w:rsidRPr="00117084">
        <w:rPr>
          <w:lang w:val="fr-CA"/>
        </w:rPr>
        <w:t>, 2024 QCCA 1195</w:t>
      </w:r>
      <w:r>
        <w:rPr>
          <w:lang w:val="fr-CA"/>
        </w:rPr>
        <w:t>, par. 34</w:t>
      </w:r>
      <w:r w:rsidR="00124DA8">
        <w:rPr>
          <w:lang w:val="fr-CA"/>
        </w:rPr>
        <w:t xml:space="preserve"> (demandes d’autorisation de pourvoi rejetées, C.S.C., 2025-05-29, n° 41548 et n° 41555)</w:t>
      </w:r>
      <w:r>
        <w:rPr>
          <w:lang w:val="fr-CA"/>
        </w:rPr>
        <w:t xml:space="preserve">; </w:t>
      </w:r>
      <w:r w:rsidRPr="0061741E">
        <w:rPr>
          <w:i/>
          <w:iCs/>
          <w:lang w:val="fr-CA"/>
        </w:rPr>
        <w:t>Gaudreault c. Brault &amp; Martineau inc.</w:t>
      </w:r>
      <w:r w:rsidRPr="0061741E">
        <w:rPr>
          <w:lang w:val="fr-CA"/>
        </w:rPr>
        <w:t>, 2024 QCCS 8</w:t>
      </w:r>
      <w:r>
        <w:rPr>
          <w:lang w:val="fr-CA"/>
        </w:rPr>
        <w:t>, par. 73.2.</w:t>
      </w:r>
    </w:p>
  </w:footnote>
  <w:footnote w:id="35">
    <w:p w:rsidR="001B7031" w:rsidRPr="00EE4B19" w:rsidP="001B7031" w14:paraId="397EA3CE" w14:textId="6F2B569B">
      <w:pPr>
        <w:pStyle w:val="FootnoteText"/>
        <w:rPr>
          <w:lang w:val="fr-CA"/>
        </w:rPr>
      </w:pPr>
      <w:r>
        <w:rPr>
          <w:rStyle w:val="FootnoteReference"/>
        </w:rPr>
        <w:footnoteRef/>
      </w:r>
      <w:r w:rsidRPr="00EE4B19">
        <w:rPr>
          <w:lang w:val="fr-CA"/>
        </w:rPr>
        <w:t xml:space="preserve"> </w:t>
      </w:r>
      <w:r>
        <w:rPr>
          <w:lang w:val="fr-CA"/>
        </w:rPr>
        <w:tab/>
      </w:r>
      <w:r w:rsidRPr="00FA7DF9">
        <w:rPr>
          <w:i/>
          <w:iCs/>
          <w:lang w:val="fr-CA"/>
        </w:rPr>
        <w:t>Sibiga c. Fido Solutions inc</w:t>
      </w:r>
      <w:r w:rsidRPr="00FA7DF9">
        <w:rPr>
          <w:lang w:val="fr-CA"/>
        </w:rPr>
        <w:t>., 2016 QCCA 1299</w:t>
      </w:r>
      <w:r>
        <w:rPr>
          <w:lang w:val="fr-CA"/>
        </w:rPr>
        <w:t xml:space="preserve">, par. 76; </w:t>
      </w:r>
      <w:r w:rsidRPr="0061741E">
        <w:rPr>
          <w:i/>
          <w:iCs/>
          <w:lang w:val="fr-CA"/>
        </w:rPr>
        <w:t>Gaudreault c. Brault &amp; Martineau inc.</w:t>
      </w:r>
      <w:r w:rsidRPr="0061741E">
        <w:rPr>
          <w:lang w:val="fr-CA"/>
        </w:rPr>
        <w:t xml:space="preserve">, 2024 QCCS 8, par. </w:t>
      </w:r>
      <w:r>
        <w:rPr>
          <w:lang w:val="fr-CA"/>
        </w:rPr>
        <w:t xml:space="preserve">73.5; </w:t>
      </w:r>
      <w:r w:rsidRPr="00EE4B19">
        <w:rPr>
          <w:i/>
          <w:iCs/>
          <w:lang w:val="fr-CA"/>
        </w:rPr>
        <w:t>Paquin-Charbonneau c. Société des casinos du Québec inc</w:t>
      </w:r>
      <w:r w:rsidRPr="00EE4B19">
        <w:rPr>
          <w:lang w:val="fr-CA"/>
        </w:rPr>
        <w:t>., 2016 QCCS 4703</w:t>
      </w:r>
      <w:r>
        <w:rPr>
          <w:lang w:val="fr-CA"/>
        </w:rPr>
        <w:t>, par. 67.</w:t>
      </w:r>
    </w:p>
  </w:footnote>
  <w:footnote w:id="36">
    <w:p w:rsidR="00BB77C2" w:rsidRPr="00BB77C2" w14:paraId="6BB56580" w14:textId="11AEE4BB">
      <w:pPr>
        <w:pStyle w:val="FootnoteText"/>
        <w:rPr>
          <w:lang w:val="fr-CA"/>
        </w:rPr>
      </w:pPr>
      <w:r>
        <w:rPr>
          <w:rStyle w:val="FootnoteReference"/>
        </w:rPr>
        <w:footnoteRef/>
      </w:r>
      <w:r w:rsidRPr="00BB77C2">
        <w:rPr>
          <w:lang w:val="fr-CA"/>
        </w:rPr>
        <w:t xml:space="preserve"> </w:t>
      </w:r>
      <w:r>
        <w:rPr>
          <w:lang w:val="fr-CA"/>
        </w:rPr>
        <w:tab/>
        <w:t>Déclaration sous serment de Pri Dhawan du 18 juin 2025, pièce SBX-1, par. 6.</w:t>
      </w:r>
    </w:p>
  </w:footnote>
  <w:footnote w:id="37">
    <w:p w:rsidR="000E0184" w:rsidRPr="000E0184" w14:paraId="167CC929" w14:textId="11DC4C24">
      <w:pPr>
        <w:pStyle w:val="FootnoteText"/>
        <w:rPr>
          <w:lang w:val="fr-CA"/>
        </w:rPr>
      </w:pPr>
      <w:r>
        <w:rPr>
          <w:rStyle w:val="FootnoteReference"/>
        </w:rPr>
        <w:footnoteRef/>
      </w:r>
      <w:r w:rsidRPr="000E0184">
        <w:rPr>
          <w:lang w:val="fr-CA"/>
        </w:rPr>
        <w:t xml:space="preserve"> </w:t>
      </w:r>
      <w:r>
        <w:rPr>
          <w:lang w:val="fr-CA"/>
        </w:rPr>
        <w:tab/>
        <w:t>Déclaration sous serment de Somnath (Sam) Wadera du 12 janvier 2026, par. 8-9.</w:t>
      </w:r>
    </w:p>
  </w:footnote>
  <w:footnote w:id="38">
    <w:p w:rsidR="00005D6A" w:rsidRPr="00005D6A" w14:paraId="1B90A356" w14:textId="70F8B25D">
      <w:pPr>
        <w:pStyle w:val="FootnoteText"/>
        <w:rPr>
          <w:lang w:val="fr-CA"/>
        </w:rPr>
      </w:pPr>
      <w:r>
        <w:rPr>
          <w:rStyle w:val="FootnoteReference"/>
        </w:rPr>
        <w:footnoteRef/>
      </w:r>
      <w:r w:rsidRPr="00005D6A">
        <w:rPr>
          <w:lang w:val="fr-CA"/>
        </w:rPr>
        <w:t xml:space="preserve"> </w:t>
      </w:r>
      <w:r>
        <w:rPr>
          <w:lang w:val="fr-CA"/>
        </w:rPr>
        <w:tab/>
        <w:t>Déclaration sous serment de Jay McNeil du 15 janvier 2026, par. 9-15.</w:t>
      </w:r>
    </w:p>
  </w:footnote>
  <w:footnote w:id="39">
    <w:p w:rsidR="00B367AB" w:rsidRPr="00B367AB" w14:paraId="73DD04B7" w14:textId="6F7894CB">
      <w:pPr>
        <w:pStyle w:val="FootnoteText"/>
        <w:rPr>
          <w:lang w:val="fr-CA"/>
        </w:rPr>
      </w:pPr>
      <w:r>
        <w:rPr>
          <w:rStyle w:val="FootnoteReference"/>
        </w:rPr>
        <w:footnoteRef/>
      </w:r>
      <w:r w:rsidRPr="00B367AB">
        <w:rPr>
          <w:lang w:val="fr-CA"/>
        </w:rPr>
        <w:t xml:space="preserve"> </w:t>
      </w:r>
      <w:r w:rsidRPr="00B367AB">
        <w:rPr>
          <w:lang w:val="fr-CA"/>
        </w:rPr>
        <w:tab/>
      </w:r>
      <w:r w:rsidRPr="00B367AB">
        <w:rPr>
          <w:i/>
          <w:iCs/>
          <w:lang w:val="fr-CA"/>
        </w:rPr>
        <w:t>Dumlao</w:t>
      </w:r>
      <w:r w:rsidRPr="00B367AB">
        <w:rPr>
          <w:lang w:val="fr-CA"/>
        </w:rPr>
        <w:t>,</w:t>
      </w:r>
      <w:r w:rsidR="000451A8">
        <w:rPr>
          <w:lang w:val="fr-CA"/>
        </w:rPr>
        <w:t xml:space="preserve"> </w:t>
      </w:r>
      <w:r w:rsidR="000451A8">
        <w:rPr>
          <w:i/>
          <w:iCs/>
          <w:lang w:val="fr-CA"/>
        </w:rPr>
        <w:t>supra</w:t>
      </w:r>
      <w:r w:rsidR="000451A8">
        <w:rPr>
          <w:lang w:val="fr-CA"/>
        </w:rPr>
        <w:t>,</w:t>
      </w:r>
      <w:r w:rsidRPr="00B367AB">
        <w:rPr>
          <w:lang w:val="fr-CA"/>
        </w:rPr>
        <w:t xml:space="preserve"> par. 39, ci</w:t>
      </w:r>
      <w:r>
        <w:rPr>
          <w:lang w:val="fr-CA"/>
        </w:rPr>
        <w:t xml:space="preserve">tant </w:t>
      </w:r>
      <w:r w:rsidRPr="00B367AB">
        <w:rPr>
          <w:i/>
          <w:iCs/>
          <w:lang w:val="fr-CA"/>
        </w:rPr>
        <w:t>Gareau auto inc. c. Banque canadienne impériale de commerce</w:t>
      </w:r>
      <w:r>
        <w:rPr>
          <w:lang w:val="fr-CA"/>
        </w:rPr>
        <w:t xml:space="preserve">, </w:t>
      </w:r>
      <w:r w:rsidRPr="00B367AB">
        <w:rPr>
          <w:lang w:val="fr-CA"/>
        </w:rPr>
        <w:t>[1989] R.J.Q. 1091</w:t>
      </w:r>
      <w:r>
        <w:rPr>
          <w:lang w:val="fr-CA"/>
        </w:rPr>
        <w:t xml:space="preserve"> (C.A.)</w:t>
      </w:r>
      <w:r w:rsidR="00FA7DF9">
        <w:rPr>
          <w:lang w:val="fr-CA"/>
        </w:rPr>
        <w:t xml:space="preserve">; </w:t>
      </w:r>
      <w:r w:rsidRPr="00FF4DB7" w:rsidR="00FF4DB7">
        <w:rPr>
          <w:i/>
          <w:iCs/>
          <w:lang w:val="fr-CA"/>
        </w:rPr>
        <w:t>Union des consommateurs c. Magasins Best Buy ltée</w:t>
      </w:r>
      <w:r w:rsidRPr="00FF4DB7" w:rsidR="00FF4DB7">
        <w:rPr>
          <w:lang w:val="fr-CA"/>
        </w:rPr>
        <w:t>, 2018 QCCA 445</w:t>
      </w:r>
      <w:r w:rsidR="00FF4DB7">
        <w:rPr>
          <w:lang w:val="fr-CA"/>
        </w:rPr>
        <w:t>, par. 50</w:t>
      </w:r>
      <w:r w:rsidR="00124DA8">
        <w:rPr>
          <w:lang w:val="fr-CA"/>
        </w:rPr>
        <w:t xml:space="preserve"> (demande d’autorisation de pourvoi rejetée, C.S.C., 2019-05-02, n° 38117)</w:t>
      </w:r>
      <w:r w:rsidR="00FF4DB7">
        <w:rPr>
          <w:lang w:val="fr-CA"/>
        </w:rPr>
        <w:t xml:space="preserve">; </w:t>
      </w:r>
      <w:r w:rsidRPr="00FA7DF9" w:rsidR="00FA7DF9">
        <w:rPr>
          <w:i/>
          <w:iCs/>
          <w:lang w:val="fr-CA"/>
        </w:rPr>
        <w:t>Jasmin c. Société des alcools du Québec</w:t>
      </w:r>
      <w:r w:rsidRPr="00FA7DF9" w:rsidR="00FA7DF9">
        <w:rPr>
          <w:lang w:val="fr-CA"/>
        </w:rPr>
        <w:t>, 2015 QCCA 36</w:t>
      </w:r>
      <w:r w:rsidR="00FA7DF9">
        <w:rPr>
          <w:lang w:val="fr-CA"/>
        </w:rPr>
        <w:t>, par. 15.</w:t>
      </w:r>
    </w:p>
  </w:footnote>
  <w:footnote w:id="40">
    <w:p w:rsidR="002A79C3" w:rsidRPr="006F082B" w:rsidP="002A79C3" w14:paraId="3088FB86" w14:textId="686D75A0">
      <w:pPr>
        <w:pStyle w:val="FootnoteText"/>
        <w:rPr>
          <w:lang w:val="fr-CA"/>
        </w:rPr>
      </w:pPr>
      <w:r>
        <w:rPr>
          <w:rStyle w:val="FootnoteReference"/>
        </w:rPr>
        <w:footnoteRef/>
      </w:r>
      <w:r w:rsidRPr="006F082B">
        <w:rPr>
          <w:lang w:val="fr-CA"/>
        </w:rPr>
        <w:t xml:space="preserve"> </w:t>
      </w:r>
      <w:r>
        <w:rPr>
          <w:lang w:val="fr-CA"/>
        </w:rPr>
        <w:tab/>
      </w:r>
      <w:r w:rsidRPr="0018441B" w:rsidR="0018441B">
        <w:rPr>
          <w:i/>
          <w:iCs/>
          <w:lang w:val="fr-CA"/>
        </w:rPr>
        <w:t>Buonamici c. Blockbuster Canada Co</w:t>
      </w:r>
      <w:r w:rsidRPr="0018441B" w:rsidR="0018441B">
        <w:rPr>
          <w:lang w:val="fr-CA"/>
        </w:rPr>
        <w:t>., [2004] R</w:t>
      </w:r>
      <w:r w:rsidR="0018441B">
        <w:rPr>
          <w:lang w:val="fr-CA"/>
        </w:rPr>
        <w:t>.</w:t>
      </w:r>
      <w:r w:rsidRPr="0018441B" w:rsidR="0018441B">
        <w:rPr>
          <w:lang w:val="fr-CA"/>
        </w:rPr>
        <w:t>J</w:t>
      </w:r>
      <w:r w:rsidR="0018441B">
        <w:rPr>
          <w:lang w:val="fr-CA"/>
        </w:rPr>
        <w:t>.</w:t>
      </w:r>
      <w:r w:rsidRPr="0018441B" w:rsidR="0018441B">
        <w:rPr>
          <w:lang w:val="fr-CA"/>
        </w:rPr>
        <w:t>Q</w:t>
      </w:r>
      <w:r w:rsidR="0018441B">
        <w:rPr>
          <w:lang w:val="fr-CA"/>
        </w:rPr>
        <w:t>.</w:t>
      </w:r>
      <w:r w:rsidRPr="0018441B" w:rsidR="0018441B">
        <w:rPr>
          <w:lang w:val="fr-CA"/>
        </w:rPr>
        <w:t xml:space="preserve"> 2724</w:t>
      </w:r>
      <w:r w:rsidR="0018441B">
        <w:rPr>
          <w:lang w:val="fr-CA"/>
        </w:rPr>
        <w:t>, par. 48</w:t>
      </w:r>
      <w:r w:rsidR="00124DA8">
        <w:rPr>
          <w:lang w:val="fr-CA"/>
        </w:rPr>
        <w:t xml:space="preserve"> </w:t>
      </w:r>
      <w:r w:rsidRPr="00FA66CC" w:rsidR="00124DA8">
        <w:rPr>
          <w:lang w:val="fr-CA"/>
        </w:rPr>
        <w:t>(C.S.)</w:t>
      </w:r>
      <w:r w:rsidR="00124DA8">
        <w:rPr>
          <w:lang w:val="fr-CA"/>
        </w:rPr>
        <w:t xml:space="preserve"> (appel rejeté, 2007 QCCA 468)</w:t>
      </w:r>
      <w:r w:rsidR="0018441B">
        <w:rPr>
          <w:lang w:val="fr-CA"/>
        </w:rPr>
        <w:t xml:space="preserve">; </w:t>
      </w:r>
      <w:r w:rsidRPr="00F1701D" w:rsidR="00F1701D">
        <w:rPr>
          <w:lang w:val="fr-CA"/>
        </w:rPr>
        <w:t xml:space="preserve">Claude Masse, </w:t>
      </w:r>
      <w:r w:rsidRPr="00F1701D" w:rsidR="00F1701D">
        <w:rPr>
          <w:i/>
          <w:iCs/>
          <w:lang w:val="fr-CA"/>
        </w:rPr>
        <w:t>Loi sur la protection du consommateur, analyse et commentaires</w:t>
      </w:r>
      <w:r w:rsidRPr="00F1701D" w:rsidR="00F1701D">
        <w:rPr>
          <w:lang w:val="fr-CA"/>
        </w:rPr>
        <w:t xml:space="preserve">, Cowansville, Éditions Yvon Blais, 1999, p. 153; </w:t>
      </w:r>
      <w:r w:rsidRPr="00066328" w:rsidR="0018441B">
        <w:rPr>
          <w:lang w:val="fr-CA"/>
        </w:rPr>
        <w:t xml:space="preserve">Pierre-Claude Lafond, </w:t>
      </w:r>
      <w:r w:rsidRPr="00066328" w:rsidR="0018441B">
        <w:rPr>
          <w:i/>
          <w:iCs/>
          <w:lang w:val="fr-CA"/>
        </w:rPr>
        <w:t>Droit de la protection du consommateur</w:t>
      </w:r>
      <w:r w:rsidR="0018441B">
        <w:rPr>
          <w:lang w:val="fr-CA"/>
        </w:rPr>
        <w:t> </w:t>
      </w:r>
      <w:r w:rsidRPr="00066328" w:rsidR="0018441B">
        <w:rPr>
          <w:lang w:val="fr-CA"/>
        </w:rPr>
        <w:t xml:space="preserve">: </w:t>
      </w:r>
      <w:r w:rsidRPr="00066328" w:rsidR="0018441B">
        <w:rPr>
          <w:i/>
          <w:iCs/>
          <w:lang w:val="fr-CA"/>
        </w:rPr>
        <w:t>Théorie et pratique</w:t>
      </w:r>
      <w:r w:rsidRPr="00066328" w:rsidR="0018441B">
        <w:rPr>
          <w:lang w:val="fr-CA"/>
        </w:rPr>
        <w:t>,</w:t>
      </w:r>
      <w:r w:rsidR="0018441B">
        <w:rPr>
          <w:lang w:val="fr-CA"/>
        </w:rPr>
        <w:t xml:space="preserve"> 2</w:t>
      </w:r>
      <w:r w:rsidRPr="00066328" w:rsidR="0018441B">
        <w:rPr>
          <w:vertAlign w:val="superscript"/>
          <w:lang w:val="fr-CA"/>
        </w:rPr>
        <w:t>e</w:t>
      </w:r>
      <w:r w:rsidR="0018441B">
        <w:rPr>
          <w:lang w:val="fr-CA"/>
        </w:rPr>
        <w:t xml:space="preserve"> éd., Montréal, </w:t>
      </w:r>
      <w:r w:rsidRPr="00066328" w:rsidR="0018441B">
        <w:rPr>
          <w:lang w:val="fr-CA"/>
        </w:rPr>
        <w:t>Yvon Blais, 2021, no 40</w:t>
      </w:r>
      <w:r w:rsidR="0018441B">
        <w:rPr>
          <w:lang w:val="fr-CA"/>
        </w:rPr>
        <w:t>5</w:t>
      </w:r>
      <w:r w:rsidR="00F1701D">
        <w:rPr>
          <w:lang w:val="fr-CA"/>
        </w:rPr>
        <w:t>.</w:t>
      </w:r>
    </w:p>
  </w:footnote>
  <w:footnote w:id="41">
    <w:p w:rsidR="002A79C3" w:rsidRPr="00FA7DF9" w:rsidP="002A79C3" w14:paraId="69784367" w14:textId="77777777">
      <w:pPr>
        <w:pStyle w:val="FootnoteText"/>
        <w:rPr>
          <w:lang w:val="fr-CA"/>
        </w:rPr>
      </w:pPr>
      <w:r>
        <w:rPr>
          <w:rStyle w:val="FootnoteReference"/>
        </w:rPr>
        <w:footnoteRef/>
      </w:r>
      <w:r w:rsidRPr="00FA7DF9">
        <w:rPr>
          <w:lang w:val="fr-CA"/>
        </w:rPr>
        <w:t xml:space="preserve"> </w:t>
      </w:r>
      <w:r>
        <w:rPr>
          <w:lang w:val="fr-CA"/>
        </w:rPr>
        <w:tab/>
      </w:r>
      <w:r w:rsidRPr="00FA7DF9">
        <w:rPr>
          <w:i/>
          <w:iCs/>
          <w:lang w:val="fr-CA"/>
        </w:rPr>
        <w:t>Sibiga c. Fido Solutions inc</w:t>
      </w:r>
      <w:r w:rsidRPr="00FA7DF9">
        <w:rPr>
          <w:lang w:val="fr-CA"/>
        </w:rPr>
        <w:t>., 2016 QCCA 1299</w:t>
      </w:r>
      <w:r>
        <w:rPr>
          <w:lang w:val="fr-CA"/>
        </w:rPr>
        <w:t>, par. 78.</w:t>
      </w:r>
    </w:p>
  </w:footnote>
  <w:footnote w:id="42">
    <w:p w:rsidR="002A79C3" w:rsidRPr="00683F2A" w:rsidP="002A79C3" w14:paraId="45BEA3DB" w14:textId="1F7630D2">
      <w:pPr>
        <w:pStyle w:val="FootnoteText"/>
        <w:rPr>
          <w:lang w:val="fr-CA"/>
        </w:rPr>
      </w:pPr>
      <w:r>
        <w:rPr>
          <w:rStyle w:val="FootnoteReference"/>
        </w:rPr>
        <w:footnoteRef/>
      </w:r>
      <w:r w:rsidRPr="00683F2A">
        <w:rPr>
          <w:lang w:val="fr-CA"/>
        </w:rPr>
        <w:t xml:space="preserve"> </w:t>
      </w:r>
      <w:r>
        <w:rPr>
          <w:lang w:val="fr-CA"/>
        </w:rPr>
        <w:tab/>
      </w:r>
      <w:r w:rsidRPr="00FA7DF9">
        <w:rPr>
          <w:i/>
          <w:iCs/>
          <w:lang w:val="fr-CA"/>
        </w:rPr>
        <w:t>Jasmin c. Société des alcools du Québec</w:t>
      </w:r>
      <w:r w:rsidRPr="00FA7DF9">
        <w:rPr>
          <w:lang w:val="fr-CA"/>
        </w:rPr>
        <w:t>, 2015 QCCA 36</w:t>
      </w:r>
      <w:r>
        <w:rPr>
          <w:lang w:val="fr-CA"/>
        </w:rPr>
        <w:t xml:space="preserve">, par. 27; </w:t>
      </w:r>
      <w:r w:rsidRPr="00683F2A">
        <w:rPr>
          <w:i/>
          <w:iCs/>
          <w:lang w:val="fr-CA"/>
        </w:rPr>
        <w:t>Dumlao c. Fido Solutions inc</w:t>
      </w:r>
      <w:r w:rsidRPr="00683F2A">
        <w:rPr>
          <w:lang w:val="fr-CA"/>
        </w:rPr>
        <w:t>., 2024 QCCS 558</w:t>
      </w:r>
      <w:r>
        <w:rPr>
          <w:lang w:val="fr-CA"/>
        </w:rPr>
        <w:t xml:space="preserve">, par. 12.5 </w:t>
      </w:r>
      <w:r w:rsidR="000F3953">
        <w:rPr>
          <w:lang w:val="fr-CA"/>
        </w:rPr>
        <w:t>(appel</w:t>
      </w:r>
      <w:r w:rsidR="00124DA8">
        <w:rPr>
          <w:lang w:val="fr-CA"/>
        </w:rPr>
        <w:t xml:space="preserve"> accueilli en partie</w:t>
      </w:r>
      <w:r>
        <w:rPr>
          <w:lang w:val="fr-CA"/>
        </w:rPr>
        <w:t>, mais non sur ce point</w:t>
      </w:r>
      <w:r w:rsidR="00124DA8">
        <w:rPr>
          <w:lang w:val="fr-CA"/>
        </w:rPr>
        <w:t>,</w:t>
      </w:r>
      <w:r w:rsidRPr="006F082B">
        <w:rPr>
          <w:lang w:val="fr-CA"/>
        </w:rPr>
        <w:t xml:space="preserve"> </w:t>
      </w:r>
      <w:r w:rsidRPr="00B367AB">
        <w:rPr>
          <w:lang w:val="fr-CA"/>
        </w:rPr>
        <w:t>2025 QCCA 1645</w:t>
      </w:r>
      <w:r w:rsidR="00124DA8">
        <w:rPr>
          <w:lang w:val="fr-CA"/>
        </w:rPr>
        <w:t>; demande d’autorisation de pourvoi, C.S.C., 2026-02-16, n° 42222).</w:t>
      </w:r>
    </w:p>
  </w:footnote>
  <w:footnote w:id="43">
    <w:p w:rsidR="00024BFD" w:rsidRPr="00024BFD" w14:paraId="46BE29C0" w14:textId="4D785941">
      <w:pPr>
        <w:pStyle w:val="FootnoteText"/>
        <w:rPr>
          <w:lang w:val="fr-CA"/>
        </w:rPr>
      </w:pPr>
      <w:r>
        <w:rPr>
          <w:rStyle w:val="FootnoteReference"/>
        </w:rPr>
        <w:footnoteRef/>
      </w:r>
      <w:r w:rsidRPr="00024BFD">
        <w:rPr>
          <w:lang w:val="fr-CA"/>
        </w:rPr>
        <w:t xml:space="preserve"> </w:t>
      </w:r>
      <w:r>
        <w:rPr>
          <w:lang w:val="fr-CA"/>
        </w:rPr>
        <w:tab/>
      </w:r>
      <w:r w:rsidR="00F1701D">
        <w:rPr>
          <w:lang w:val="fr-CA"/>
        </w:rPr>
        <w:t>Demande d’autorisation</w:t>
      </w:r>
      <w:r>
        <w:rPr>
          <w:lang w:val="fr-CA"/>
        </w:rPr>
        <w:t>, par. 19.</w:t>
      </w:r>
    </w:p>
  </w:footnote>
  <w:footnote w:id="44">
    <w:p w:rsidR="001B35E7" w:rsidRPr="001B35E7" w14:paraId="17F9AE20" w14:textId="0F6D6898">
      <w:pPr>
        <w:pStyle w:val="FootnoteText"/>
        <w:rPr>
          <w:lang w:val="fr-CA"/>
        </w:rPr>
      </w:pPr>
      <w:r>
        <w:rPr>
          <w:rStyle w:val="FootnoteReference"/>
        </w:rPr>
        <w:footnoteRef/>
      </w:r>
      <w:r w:rsidRPr="001B35E7">
        <w:rPr>
          <w:lang w:val="fr-CA"/>
        </w:rPr>
        <w:t xml:space="preserve"> </w:t>
      </w:r>
      <w:r>
        <w:rPr>
          <w:lang w:val="fr-CA"/>
        </w:rPr>
        <w:tab/>
        <w:t>Pièce P-14.</w:t>
      </w:r>
    </w:p>
  </w:footnote>
  <w:footnote w:id="45">
    <w:p w:rsidR="00152899" w:rsidRPr="00152899" w14:paraId="0860337E" w14:textId="70E0C079">
      <w:pPr>
        <w:pStyle w:val="FootnoteText"/>
        <w:rPr>
          <w:lang w:val="fr-CA"/>
        </w:rPr>
      </w:pPr>
      <w:r>
        <w:rPr>
          <w:rStyle w:val="FootnoteReference"/>
        </w:rPr>
        <w:footnoteRef/>
      </w:r>
      <w:r w:rsidRPr="00152899">
        <w:rPr>
          <w:lang w:val="fr-CA"/>
        </w:rPr>
        <w:t xml:space="preserve"> </w:t>
      </w:r>
      <w:r>
        <w:rPr>
          <w:lang w:val="fr-CA"/>
        </w:rPr>
        <w:tab/>
        <w:t>Plan d’argumentation de Starbucks Coffee Canada, par. 36.</w:t>
      </w:r>
    </w:p>
  </w:footnote>
  <w:footnote w:id="46">
    <w:p w:rsidR="00911993" w:rsidRPr="00911993" w14:paraId="53EA4B88" w14:textId="55D04BC3">
      <w:pPr>
        <w:pStyle w:val="FootnoteText"/>
        <w:rPr>
          <w:lang w:val="fr-CA"/>
        </w:rPr>
      </w:pPr>
      <w:r>
        <w:rPr>
          <w:rStyle w:val="FootnoteReference"/>
        </w:rPr>
        <w:footnoteRef/>
      </w:r>
      <w:r w:rsidRPr="00911993">
        <w:rPr>
          <w:lang w:val="fr-CA"/>
        </w:rPr>
        <w:t xml:space="preserve"> </w:t>
      </w:r>
      <w:r>
        <w:rPr>
          <w:lang w:val="fr-CA"/>
        </w:rPr>
        <w:tab/>
      </w:r>
      <w:r w:rsidR="008E2D8B">
        <w:rPr>
          <w:lang w:val="fr-CA"/>
        </w:rPr>
        <w:t>Coût d’approvisionnement</w:t>
      </w:r>
      <w:r>
        <w:rPr>
          <w:lang w:val="fr-CA"/>
        </w:rPr>
        <w:t xml:space="preserve"> moyen d</w:t>
      </w:r>
      <w:r w:rsidR="008E2D8B">
        <w:rPr>
          <w:lang w:val="fr-CA"/>
        </w:rPr>
        <w:t>es</w:t>
      </w:r>
      <w:r>
        <w:rPr>
          <w:lang w:val="fr-CA"/>
        </w:rPr>
        <w:t xml:space="preserve"> substitut</w:t>
      </w:r>
      <w:r w:rsidR="008E2D8B">
        <w:rPr>
          <w:lang w:val="fr-CA"/>
        </w:rPr>
        <w:t>s</w:t>
      </w:r>
      <w:r>
        <w:rPr>
          <w:lang w:val="fr-CA"/>
        </w:rPr>
        <w:t xml:space="preserve"> laitier</w:t>
      </w:r>
      <w:r w:rsidR="008E2D8B">
        <w:rPr>
          <w:lang w:val="fr-CA"/>
        </w:rPr>
        <w:t>s</w:t>
      </w:r>
      <w:r>
        <w:rPr>
          <w:lang w:val="fr-CA"/>
        </w:rPr>
        <w:t xml:space="preserve"> - </w:t>
      </w:r>
      <w:r w:rsidR="008E2D8B">
        <w:rPr>
          <w:lang w:val="fr-CA"/>
        </w:rPr>
        <w:t xml:space="preserve">coût d’approvisionnement moyen </w:t>
      </w:r>
      <w:r>
        <w:rPr>
          <w:lang w:val="fr-CA"/>
        </w:rPr>
        <w:t>du lait.</w:t>
      </w:r>
    </w:p>
  </w:footnote>
  <w:footnote w:id="47">
    <w:p w:rsidR="00911993" w:rsidRPr="00911993" w14:paraId="51632A0A" w14:textId="45F30BB4">
      <w:pPr>
        <w:pStyle w:val="FootnoteText"/>
        <w:rPr>
          <w:lang w:val="fr-CA"/>
        </w:rPr>
      </w:pPr>
      <w:r>
        <w:rPr>
          <w:rStyle w:val="FootnoteReference"/>
        </w:rPr>
        <w:footnoteRef/>
      </w:r>
      <w:r w:rsidRPr="00911993">
        <w:rPr>
          <w:lang w:val="fr-CA"/>
        </w:rPr>
        <w:t xml:space="preserve"> </w:t>
      </w:r>
      <w:r>
        <w:rPr>
          <w:lang w:val="fr-CA"/>
        </w:rPr>
        <w:tab/>
        <w:t>9,47 oz x 0,05 $.</w:t>
      </w:r>
    </w:p>
  </w:footnote>
  <w:footnote w:id="48">
    <w:p w:rsidR="0042791B" w:rsidRPr="00CD4F89" w:rsidP="0042791B" w14:paraId="16E1C687" w14:textId="4D11BA71">
      <w:pPr>
        <w:pStyle w:val="FootnoteText"/>
        <w:rPr>
          <w:lang w:val="fr-CA"/>
        </w:rPr>
      </w:pPr>
      <w:r>
        <w:rPr>
          <w:rStyle w:val="FootnoteReference"/>
        </w:rPr>
        <w:footnoteRef/>
      </w:r>
      <w:r w:rsidRPr="00CD4F89">
        <w:rPr>
          <w:lang w:val="fr-CA"/>
        </w:rPr>
        <w:t xml:space="preserve"> </w:t>
      </w:r>
      <w:r w:rsidRPr="00CD4F89">
        <w:rPr>
          <w:lang w:val="fr-CA"/>
        </w:rPr>
        <w:tab/>
      </w:r>
      <w:r w:rsidRPr="00CD4F89">
        <w:rPr>
          <w:i/>
          <w:iCs/>
          <w:lang w:val="fr-CA"/>
        </w:rPr>
        <w:t>Dumlao</w:t>
      </w:r>
      <w:r w:rsidR="000451A8">
        <w:rPr>
          <w:lang w:val="fr-CA"/>
        </w:rPr>
        <w:t xml:space="preserve">, </w:t>
      </w:r>
      <w:r w:rsidR="000451A8">
        <w:rPr>
          <w:i/>
          <w:iCs/>
          <w:lang w:val="fr-CA"/>
        </w:rPr>
        <w:t>supra</w:t>
      </w:r>
      <w:r w:rsidRPr="00CD4F89">
        <w:rPr>
          <w:lang w:val="fr-CA"/>
        </w:rPr>
        <w:t>, par. 68, ci</w:t>
      </w:r>
      <w:r>
        <w:rPr>
          <w:lang w:val="fr-CA"/>
        </w:rPr>
        <w:t xml:space="preserve">tant </w:t>
      </w:r>
      <w:r w:rsidRPr="00CD4F89">
        <w:rPr>
          <w:i/>
          <w:iCs/>
          <w:lang w:val="fr-CA"/>
        </w:rPr>
        <w:t>Benjamin c. Crédit VW Canada inc</w:t>
      </w:r>
      <w:r w:rsidRPr="00CD4F89">
        <w:rPr>
          <w:lang w:val="fr-CA"/>
        </w:rPr>
        <w:t>.,</w:t>
      </w:r>
      <w:r>
        <w:rPr>
          <w:lang w:val="fr-CA"/>
        </w:rPr>
        <w:t xml:space="preserve"> 2022 QCCA 1383, par. </w:t>
      </w:r>
      <w:r w:rsidRPr="00CD4F89">
        <w:rPr>
          <w:lang w:val="fr-CA"/>
        </w:rPr>
        <w:t>27</w:t>
      </w:r>
      <w:r>
        <w:rPr>
          <w:lang w:val="fr-CA"/>
        </w:rPr>
        <w:t>.</w:t>
      </w:r>
    </w:p>
  </w:footnote>
  <w:footnote w:id="49">
    <w:p w:rsidR="008E2D8B" w:rsidRPr="00911993" w:rsidP="008E2D8B" w14:paraId="6783E861" w14:textId="33D145B2">
      <w:pPr>
        <w:pStyle w:val="FootnoteText"/>
        <w:rPr>
          <w:lang w:val="fr-CA"/>
        </w:rPr>
      </w:pPr>
      <w:r>
        <w:rPr>
          <w:rStyle w:val="FootnoteReference"/>
        </w:rPr>
        <w:footnoteRef/>
      </w:r>
      <w:r w:rsidRPr="00911993">
        <w:rPr>
          <w:lang w:val="fr-CA"/>
        </w:rPr>
        <w:t xml:space="preserve"> </w:t>
      </w:r>
      <w:r>
        <w:rPr>
          <w:lang w:val="fr-CA"/>
        </w:rPr>
        <w:tab/>
        <w:t>Coût d’approvisionnement moyen des substituts laitiers - coût d’approvisionnement moyen du lait.</w:t>
      </w:r>
    </w:p>
  </w:footnote>
  <w:footnote w:id="50">
    <w:p w:rsidR="008E2D8B" w:rsidRPr="00911993" w:rsidP="008E2D8B" w14:paraId="6D996A6B" w14:textId="77777777">
      <w:pPr>
        <w:pStyle w:val="FootnoteText"/>
        <w:rPr>
          <w:lang w:val="fr-CA"/>
        </w:rPr>
      </w:pPr>
      <w:r>
        <w:rPr>
          <w:rStyle w:val="FootnoteReference"/>
        </w:rPr>
        <w:footnoteRef/>
      </w:r>
      <w:r w:rsidRPr="00911993">
        <w:rPr>
          <w:lang w:val="fr-CA"/>
        </w:rPr>
        <w:t xml:space="preserve"> </w:t>
      </w:r>
      <w:r>
        <w:rPr>
          <w:lang w:val="fr-CA"/>
        </w:rPr>
        <w:tab/>
        <w:t>9,47 oz x 0,05 $.</w:t>
      </w:r>
    </w:p>
  </w:footnote>
  <w:footnote w:id="51">
    <w:p w:rsidR="00052D7E" w:rsidRPr="00052D7E" w:rsidP="00052D7E" w14:paraId="488B6B5E" w14:textId="77777777">
      <w:pPr>
        <w:pStyle w:val="FootnoteText"/>
        <w:rPr>
          <w:lang w:val="fr-CA"/>
        </w:rPr>
      </w:pPr>
      <w:r>
        <w:rPr>
          <w:rStyle w:val="FootnoteReference"/>
        </w:rPr>
        <w:footnoteRef/>
      </w:r>
      <w:r w:rsidRPr="00052D7E">
        <w:rPr>
          <w:lang w:val="fr-CA"/>
        </w:rPr>
        <w:t xml:space="preserve"> </w:t>
      </w:r>
      <w:r>
        <w:rPr>
          <w:lang w:val="fr-CA"/>
        </w:rPr>
        <w:tab/>
        <w:t xml:space="preserve">La </w:t>
      </w:r>
      <w:r w:rsidRPr="00740117">
        <w:rPr>
          <w:lang w:val="fr-CA"/>
        </w:rPr>
        <w:t xml:space="preserve">demanderesse d’allègue pas qu’elle </w:t>
      </w:r>
      <w:r>
        <w:rPr>
          <w:lang w:val="fr-CA"/>
        </w:rPr>
        <w:t>a acheté des</w:t>
      </w:r>
      <w:r w:rsidRPr="00740117">
        <w:rPr>
          <w:lang w:val="fr-CA"/>
        </w:rPr>
        <w:t xml:space="preserve"> breuvage</w:t>
      </w:r>
      <w:r>
        <w:rPr>
          <w:lang w:val="fr-CA"/>
        </w:rPr>
        <w:t>s</w:t>
      </w:r>
      <w:r w:rsidRPr="00740117">
        <w:rPr>
          <w:lang w:val="fr-CA"/>
        </w:rPr>
        <w:t xml:space="preserve"> dans un restaurant Second Cup exploité directement par la défenderesse Foodtastic, ou qu’elle s’est procuré un breuvage dans un restaurant Starbucks exploité directement par la défenderesse Starbucks </w:t>
      </w:r>
      <w:r>
        <w:rPr>
          <w:lang w:val="fr-CA"/>
        </w:rPr>
        <w:t xml:space="preserve">Coffee </w:t>
      </w:r>
      <w:r w:rsidRPr="00740117">
        <w:rPr>
          <w:lang w:val="fr-CA"/>
        </w:rPr>
        <w:t>Canada</w:t>
      </w:r>
      <w:r>
        <w:rPr>
          <w:lang w:val="fr-CA"/>
        </w:rPr>
        <w:t>.</w:t>
      </w:r>
    </w:p>
  </w:footnote>
  <w:footnote w:id="52">
    <w:p w:rsidR="000C4189" w:rsidRPr="006633D0" w:rsidP="000C4189" w14:paraId="53AE241C" w14:textId="633495B0">
      <w:pPr>
        <w:pStyle w:val="FootnoteText"/>
        <w:rPr>
          <w:lang w:val="fr-CA"/>
        </w:rPr>
      </w:pPr>
      <w:r>
        <w:rPr>
          <w:rStyle w:val="FootnoteReference"/>
        </w:rPr>
        <w:footnoteRef/>
      </w:r>
      <w:r w:rsidRPr="006633D0">
        <w:rPr>
          <w:lang w:val="fr-CA"/>
        </w:rPr>
        <w:t xml:space="preserve"> </w:t>
      </w:r>
      <w:r>
        <w:rPr>
          <w:lang w:val="fr-CA"/>
        </w:rPr>
        <w:tab/>
      </w:r>
      <w:r w:rsidR="00F1701D">
        <w:rPr>
          <w:lang w:val="fr-CA"/>
        </w:rPr>
        <w:t>Demande d’autorisation</w:t>
      </w:r>
      <w:r>
        <w:rPr>
          <w:lang w:val="fr-CA"/>
        </w:rPr>
        <w:t>, par. 10-12.</w:t>
      </w:r>
    </w:p>
  </w:footnote>
  <w:footnote w:id="53">
    <w:p w:rsidR="000C4189" w:rsidRPr="00013480" w:rsidP="000C4189" w14:paraId="5AAC1EBC" w14:textId="77777777">
      <w:pPr>
        <w:pStyle w:val="FootnoteText"/>
        <w:rPr>
          <w:lang w:val="fr-CA"/>
        </w:rPr>
      </w:pPr>
      <w:r>
        <w:rPr>
          <w:rStyle w:val="FootnoteReference"/>
        </w:rPr>
        <w:footnoteRef/>
      </w:r>
      <w:r w:rsidRPr="00013480">
        <w:rPr>
          <w:lang w:val="fr-CA"/>
        </w:rPr>
        <w:t xml:space="preserve"> </w:t>
      </w:r>
      <w:r>
        <w:rPr>
          <w:lang w:val="fr-CA"/>
        </w:rPr>
        <w:tab/>
        <w:t>Dans sa déclaration sous serment du 12 janvier 2026, de Somnath (Sam) Wadera affirme que ce n’est pas Foodtastic, mais SC Coffee Canada qui est le franchiseur de la chaîne de restaurants Second Cup. Toutefois, l’allégation selon laquelle Foodtastic serait l’entité responsable de fixer le prix des produits vendus dans les restaurants Second Cup n’est pas contredite par une preuve documentaire fiable et elle doit être tenue pour avérée à ce stade.</w:t>
      </w:r>
    </w:p>
  </w:footnote>
  <w:footnote w:id="54">
    <w:p w:rsidR="000451A8" w:rsidRPr="000451A8" w14:paraId="738C41D6" w14:textId="76085E73">
      <w:pPr>
        <w:pStyle w:val="FootnoteText"/>
        <w:rPr>
          <w:i/>
          <w:iCs/>
          <w:lang w:val="fr-CA"/>
        </w:rPr>
      </w:pPr>
      <w:r>
        <w:rPr>
          <w:rStyle w:val="FootnoteReference"/>
        </w:rPr>
        <w:footnoteRef/>
      </w:r>
      <w:r w:rsidRPr="000451A8">
        <w:rPr>
          <w:lang w:val="fr-CA"/>
        </w:rPr>
        <w:t xml:space="preserve"> </w:t>
      </w:r>
      <w:r>
        <w:rPr>
          <w:lang w:val="fr-CA"/>
        </w:rPr>
        <w:tab/>
        <w:t xml:space="preserve">Dumlao, </w:t>
      </w:r>
      <w:r>
        <w:rPr>
          <w:i/>
          <w:iCs/>
          <w:lang w:val="fr-CA"/>
        </w:rPr>
        <w:t>supra</w:t>
      </w:r>
      <w:r>
        <w:rPr>
          <w:lang w:val="fr-CA"/>
        </w:rPr>
        <w:t xml:space="preserve">, par. 35, 41 et 43. </w:t>
      </w:r>
    </w:p>
  </w:footnote>
  <w:footnote w:id="55">
    <w:p w:rsidR="000451A8" w:rsidRPr="000C250A" w14:paraId="404D4585" w14:textId="394B627D">
      <w:pPr>
        <w:pStyle w:val="FootnoteText"/>
        <w:rPr>
          <w:lang w:val="fr-CA"/>
        </w:rPr>
      </w:pPr>
      <w:r>
        <w:rPr>
          <w:rStyle w:val="FootnoteReference"/>
        </w:rPr>
        <w:footnoteRef/>
      </w:r>
      <w:r w:rsidRPr="000C250A">
        <w:rPr>
          <w:lang w:val="fr-CA"/>
        </w:rPr>
        <w:t xml:space="preserve"> </w:t>
      </w:r>
      <w:r w:rsidRPr="000C250A">
        <w:rPr>
          <w:lang w:val="fr-CA"/>
        </w:rPr>
        <w:tab/>
      </w:r>
      <w:r w:rsidRPr="000C250A" w:rsidR="000C250A">
        <w:rPr>
          <w:lang w:val="fr-CA"/>
        </w:rPr>
        <w:t xml:space="preserve">La demanderesse invoque </w:t>
      </w:r>
      <w:r w:rsidR="000C250A">
        <w:rPr>
          <w:lang w:val="fr-CA"/>
        </w:rPr>
        <w:t xml:space="preserve">à ce sujet </w:t>
      </w:r>
      <w:r w:rsidRPr="000C250A" w:rsidR="000C250A">
        <w:rPr>
          <w:lang w:val="fr-CA"/>
        </w:rPr>
        <w:t>l’af</w:t>
      </w:r>
      <w:r w:rsidR="000C250A">
        <w:rPr>
          <w:lang w:val="fr-CA"/>
        </w:rPr>
        <w:t xml:space="preserve">faire </w:t>
      </w:r>
      <w:r w:rsidRPr="000C250A" w:rsidR="000C250A">
        <w:rPr>
          <w:i/>
          <w:iCs/>
          <w:lang w:val="fr-CA"/>
        </w:rPr>
        <w:t>Gillich c. Mercedes-Benz West Island</w:t>
      </w:r>
      <w:r w:rsidRPr="000C250A" w:rsidR="000C250A">
        <w:rPr>
          <w:lang w:val="fr-CA"/>
        </w:rPr>
        <w:t>, 2020 QCCS 1582</w:t>
      </w:r>
      <w:r w:rsidR="000C250A">
        <w:rPr>
          <w:lang w:val="fr-CA"/>
        </w:rPr>
        <w:t>, par. 44. V</w:t>
      </w:r>
      <w:r w:rsidRPr="000C250A">
        <w:rPr>
          <w:lang w:val="fr-CA"/>
        </w:rPr>
        <w:t>oir</w:t>
      </w:r>
      <w:r w:rsidR="000C250A">
        <w:rPr>
          <w:lang w:val="fr-CA"/>
        </w:rPr>
        <w:t xml:space="preserve"> également les arrêts</w:t>
      </w:r>
      <w:r w:rsidRPr="000C250A">
        <w:rPr>
          <w:lang w:val="fr-CA"/>
        </w:rPr>
        <w:t xml:space="preserve"> </w:t>
      </w:r>
      <w:r w:rsidRPr="000C250A">
        <w:rPr>
          <w:i/>
          <w:iCs/>
          <w:lang w:val="fr-CA"/>
        </w:rPr>
        <w:t>Trudel c. Clairol Inc. of Canada</w:t>
      </w:r>
      <w:r w:rsidRPr="000C250A">
        <w:rPr>
          <w:lang w:val="fr-CA"/>
        </w:rPr>
        <w:t>, [1975] 2 R.C.S. 236</w:t>
      </w:r>
      <w:r w:rsidR="000C250A">
        <w:rPr>
          <w:lang w:val="fr-CA"/>
        </w:rPr>
        <w:t xml:space="preserve"> et</w:t>
      </w:r>
      <w:r w:rsidRPr="000C250A">
        <w:rPr>
          <w:lang w:val="fr-CA"/>
        </w:rPr>
        <w:t xml:space="preserve"> </w:t>
      </w:r>
      <w:r w:rsidRPr="000C250A">
        <w:rPr>
          <w:i/>
          <w:iCs/>
          <w:lang w:val="fr-CA"/>
        </w:rPr>
        <w:t>Costco Wholesale Canada Ltd. c. Simms Sigal &amp; Co. Ltd</w:t>
      </w:r>
      <w:r w:rsidRPr="000C250A">
        <w:rPr>
          <w:lang w:val="fr-CA"/>
        </w:rPr>
        <w:t>., 2020 QCCA 1331, par. 47 et 50</w:t>
      </w:r>
      <w:r w:rsidR="000C250A">
        <w:rPr>
          <w:lang w:val="fr-CA"/>
        </w:rPr>
        <w:t>.</w:t>
      </w:r>
      <w:r w:rsidRPr="000C250A">
        <w:rPr>
          <w:lang w:val="fr-CA"/>
        </w:rPr>
        <w:t xml:space="preserve"> </w:t>
      </w:r>
    </w:p>
  </w:footnote>
  <w:footnote w:id="56">
    <w:p w:rsidR="007A1C2F" w:rsidRPr="007A1C2F" w14:paraId="3BD7EA10" w14:textId="704373E3">
      <w:pPr>
        <w:pStyle w:val="FootnoteText"/>
        <w:rPr>
          <w:lang w:val="fr-CA"/>
        </w:rPr>
      </w:pPr>
      <w:r>
        <w:rPr>
          <w:rStyle w:val="FootnoteReference"/>
        </w:rPr>
        <w:footnoteRef/>
      </w:r>
      <w:r w:rsidRPr="007A1C2F">
        <w:rPr>
          <w:lang w:val="fr-CA"/>
        </w:rPr>
        <w:t xml:space="preserve"> </w:t>
      </w:r>
      <w:r>
        <w:rPr>
          <w:lang w:val="fr-CA"/>
        </w:rPr>
        <w:tab/>
        <w:t>Article 99 C.p.c.</w:t>
      </w:r>
    </w:p>
  </w:footnote>
  <w:footnote w:id="57">
    <w:p w:rsidR="00234BA1" w:rsidRPr="00234BA1" w14:paraId="3FFD7471" w14:textId="6FFAC581">
      <w:pPr>
        <w:pStyle w:val="FootnoteText"/>
        <w:rPr>
          <w:lang w:val="fr-CA"/>
        </w:rPr>
      </w:pPr>
      <w:r>
        <w:rPr>
          <w:rStyle w:val="FootnoteReference"/>
        </w:rPr>
        <w:footnoteRef/>
      </w:r>
      <w:r w:rsidRPr="00234BA1">
        <w:rPr>
          <w:lang w:val="fr-CA"/>
        </w:rPr>
        <w:t xml:space="preserve"> </w:t>
      </w:r>
      <w:r>
        <w:rPr>
          <w:lang w:val="fr-CA"/>
        </w:rPr>
        <w:tab/>
        <w:t xml:space="preserve">Voir notamment </w:t>
      </w:r>
      <w:r w:rsidRPr="00234BA1">
        <w:rPr>
          <w:i/>
          <w:iCs/>
          <w:lang w:val="fr-CA"/>
        </w:rPr>
        <w:t>Agence du revenu du Québec c. Pressman Lessard</w:t>
      </w:r>
      <w:r w:rsidRPr="00234BA1">
        <w:rPr>
          <w:lang w:val="fr-CA"/>
        </w:rPr>
        <w:t>, 2024 QCCA 1661</w:t>
      </w:r>
      <w:r>
        <w:rPr>
          <w:lang w:val="fr-CA"/>
        </w:rPr>
        <w:t xml:space="preserve">, par. 20; </w:t>
      </w:r>
      <w:r w:rsidRPr="00234BA1">
        <w:rPr>
          <w:i/>
          <w:iCs/>
          <w:lang w:val="fr-CA"/>
        </w:rPr>
        <w:t>Desbiens c. Standish</w:t>
      </w:r>
      <w:r w:rsidRPr="00234BA1">
        <w:rPr>
          <w:lang w:val="fr-CA"/>
        </w:rPr>
        <w:t>, 2024 QCCA 725</w:t>
      </w:r>
      <w:r>
        <w:rPr>
          <w:lang w:val="fr-CA"/>
        </w:rPr>
        <w:t>, par. 106</w:t>
      </w:r>
      <w:r w:rsidR="00124DA8">
        <w:rPr>
          <w:lang w:val="fr-CA"/>
        </w:rPr>
        <w:t xml:space="preserve"> (demande d’autorisation de pourvoi rejetée, C.S.C., 2025-03-06, n° 41408).</w:t>
      </w:r>
    </w:p>
  </w:footnote>
  <w:footnote w:id="58">
    <w:p w:rsidR="00AC6E5E" w:rsidRPr="00AC6E5E" w14:paraId="0F0B2F34" w14:textId="08CC0B2D">
      <w:pPr>
        <w:pStyle w:val="FootnoteText"/>
        <w:rPr>
          <w:lang w:val="fr-CA"/>
        </w:rPr>
      </w:pPr>
      <w:r>
        <w:rPr>
          <w:rStyle w:val="FootnoteReference"/>
        </w:rPr>
        <w:footnoteRef/>
      </w:r>
      <w:r w:rsidRPr="00AC6E5E">
        <w:rPr>
          <w:lang w:val="fr-CA"/>
        </w:rPr>
        <w:t xml:space="preserve"> </w:t>
      </w:r>
      <w:r>
        <w:rPr>
          <w:lang w:val="fr-CA"/>
        </w:rPr>
        <w:tab/>
        <w:t>Demande d’autorisation, par. 60.</w:t>
      </w:r>
    </w:p>
  </w:footnote>
  <w:footnote w:id="59">
    <w:p w:rsidR="007636A5" w:rsidRPr="004D20E0" w:rsidP="007636A5" w14:paraId="42E20EBA" w14:textId="77777777">
      <w:pPr>
        <w:pStyle w:val="FootnoteText"/>
        <w:rPr>
          <w:lang w:val="fr-CA"/>
        </w:rPr>
      </w:pPr>
      <w:r>
        <w:rPr>
          <w:rStyle w:val="FootnoteReference"/>
        </w:rPr>
        <w:footnoteRef/>
      </w:r>
      <w:r w:rsidRPr="004D20E0">
        <w:rPr>
          <w:lang w:val="fr-CA"/>
        </w:rPr>
        <w:t xml:space="preserve"> </w:t>
      </w:r>
      <w:r>
        <w:rPr>
          <w:lang w:val="fr-CA"/>
        </w:rPr>
        <w:tab/>
      </w:r>
      <w:r w:rsidRPr="00C93342">
        <w:rPr>
          <w:i/>
          <w:iCs/>
          <w:lang w:val="fr-CA"/>
        </w:rPr>
        <w:t>Gauthier c. Bombardier inc</w:t>
      </w:r>
      <w:r w:rsidRPr="00C93342">
        <w:rPr>
          <w:lang w:val="fr-CA"/>
        </w:rPr>
        <w:t>., 2026 QCCA 148</w:t>
      </w:r>
      <w:r>
        <w:rPr>
          <w:lang w:val="fr-CA"/>
        </w:rPr>
        <w:t xml:space="preserve">, par. 36; </w:t>
      </w:r>
      <w:r w:rsidRPr="00C93342">
        <w:rPr>
          <w:i/>
          <w:iCs/>
          <w:lang w:val="fr-CA"/>
        </w:rPr>
        <w:t>Option Consommateurs c. Home Depot of Canada inc</w:t>
      </w:r>
      <w:r>
        <w:rPr>
          <w:lang w:val="fr-CA"/>
        </w:rPr>
        <w:t xml:space="preserve">., </w:t>
      </w:r>
      <w:r w:rsidRPr="00C93342">
        <w:rPr>
          <w:lang w:val="fr-CA"/>
        </w:rPr>
        <w:t>2026 QCCA 149</w:t>
      </w:r>
      <w:r>
        <w:rPr>
          <w:lang w:val="fr-CA"/>
        </w:rPr>
        <w:t>, par. 36.</w:t>
      </w:r>
    </w:p>
  </w:footnote>
  <w:footnote w:id="60">
    <w:p w:rsidR="00552698" w:rsidRPr="00552698" w14:paraId="6247B01E" w14:textId="6500C867">
      <w:pPr>
        <w:pStyle w:val="FootnoteText"/>
        <w:rPr>
          <w:lang w:val="fr-CA"/>
        </w:rPr>
      </w:pPr>
      <w:r>
        <w:rPr>
          <w:rStyle w:val="FootnoteReference"/>
        </w:rPr>
        <w:footnoteRef/>
      </w:r>
      <w:r w:rsidRPr="00552698">
        <w:rPr>
          <w:lang w:val="fr-CA"/>
        </w:rPr>
        <w:t xml:space="preserve"> </w:t>
      </w:r>
      <w:r w:rsidRPr="00552698">
        <w:rPr>
          <w:lang w:val="fr-CA"/>
        </w:rPr>
        <w:tab/>
      </w:r>
      <w:r w:rsidRPr="00552698">
        <w:rPr>
          <w:i/>
          <w:iCs/>
          <w:lang w:val="fr-CA"/>
        </w:rPr>
        <w:t>Richard c. Time Inc</w:t>
      </w:r>
      <w:r w:rsidRPr="00552698">
        <w:rPr>
          <w:lang w:val="fr-CA"/>
        </w:rPr>
        <w:t>., [2012] 1 R</w:t>
      </w:r>
      <w:r>
        <w:rPr>
          <w:lang w:val="fr-CA"/>
        </w:rPr>
        <w:t>.</w:t>
      </w:r>
      <w:r w:rsidRPr="00552698">
        <w:rPr>
          <w:lang w:val="fr-CA"/>
        </w:rPr>
        <w:t>C</w:t>
      </w:r>
      <w:r>
        <w:rPr>
          <w:lang w:val="fr-CA"/>
        </w:rPr>
        <w:t>.</w:t>
      </w:r>
      <w:r w:rsidRPr="00552698">
        <w:rPr>
          <w:lang w:val="fr-CA"/>
        </w:rPr>
        <w:t>S</w:t>
      </w:r>
      <w:r>
        <w:rPr>
          <w:lang w:val="fr-CA"/>
        </w:rPr>
        <w:t>.</w:t>
      </w:r>
      <w:r w:rsidRPr="00552698">
        <w:rPr>
          <w:lang w:val="fr-CA"/>
        </w:rPr>
        <w:t xml:space="preserve"> 265,</w:t>
      </w:r>
      <w:r>
        <w:rPr>
          <w:lang w:val="fr-CA"/>
        </w:rPr>
        <w:t xml:space="preserve"> par</w:t>
      </w:r>
      <w:r w:rsidRPr="00552698">
        <w:rPr>
          <w:lang w:val="fr-CA"/>
        </w:rPr>
        <w:t>. 105-106.</w:t>
      </w:r>
    </w:p>
  </w:footnote>
  <w:footnote w:id="61">
    <w:p w:rsidR="00C618CB" w:rsidRPr="00123F43" w:rsidP="00C618CB" w14:paraId="4A03CD68" w14:textId="77777777">
      <w:pPr>
        <w:pStyle w:val="FootnoteText"/>
        <w:rPr>
          <w:lang w:val="fr-CA"/>
        </w:rPr>
      </w:pPr>
      <w:r>
        <w:rPr>
          <w:rStyle w:val="FootnoteReference"/>
        </w:rPr>
        <w:footnoteRef/>
      </w:r>
      <w:r w:rsidRPr="007636A5">
        <w:rPr>
          <w:lang w:val="fr-CA"/>
        </w:rPr>
        <w:t xml:space="preserve"> </w:t>
      </w:r>
      <w:r>
        <w:rPr>
          <w:lang w:val="fr-CA"/>
        </w:rPr>
        <w:tab/>
        <w:t>Pièce P-3.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0F7A" w14:paraId="2CAE4AC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21A72" w:rsidRPr="005B031B" w14:paraId="0865E61F" w14:textId="55C317B6">
    <w:pPr>
      <w:tabs>
        <w:tab w:val="center" w:pos="4709"/>
        <w:tab w:val="right" w:pos="9360"/>
      </w:tabs>
      <w:ind w:right="524"/>
      <w:rPr>
        <w:lang w:val="fr-CA"/>
      </w:rPr>
    </w:pPr>
    <w:r>
      <w:t>500-06-001351-242</w:t>
    </w:r>
    <w:r w:rsidRPr="005B031B">
      <w:rPr>
        <w:lang w:val="fr-CA"/>
      </w:rPr>
      <w:tab/>
    </w:r>
    <w:r w:rsidRPr="005B031B">
      <w:rPr>
        <w:lang w:val="fr-CA"/>
      </w:rPr>
      <w:tab/>
      <w:t xml:space="preserve">PAGE : </w:t>
    </w:r>
    <w:r>
      <w:fldChar w:fldCharType="begin"/>
    </w:r>
    <w:r w:rsidRPr="005B031B">
      <w:rPr>
        <w:lang w:val="fr-CA"/>
      </w:rPr>
      <w:instrText xml:space="preserve"> PAGE </w:instrText>
    </w:r>
    <w:r>
      <w:fldChar w:fldCharType="separate"/>
    </w:r>
    <w:r w:rsidR="00DE7CC9">
      <w:rPr>
        <w:noProof/>
        <w:lang w:val="fr-CA"/>
      </w:rPr>
      <w:t>2</w:t>
    </w:r>
    <w:r>
      <w:fldChar w:fldCharType="end"/>
    </w:r>
  </w:p>
  <w:p w:rsidR="00121A72" w:rsidRPr="005B031B" w14:paraId="4839D8BA" w14:textId="77777777">
    <w:pPr>
      <w:tabs>
        <w:tab w:val="center" w:pos="4709"/>
        <w:tab w:val="right" w:pos="9090"/>
      </w:tabs>
      <w:ind w:right="524"/>
      <w:rPr>
        <w:lang w:val="fr-C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50F7A" w14:paraId="4040FF4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6A14242"/>
    <w:multiLevelType w:val="hybridMultilevel"/>
    <w:tmpl w:val="33F6F26E"/>
    <w:lvl w:ilvl="0">
      <w:start w:val="1"/>
      <w:numFmt w:val="upp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29B11B71"/>
    <w:multiLevelType w:val="multilevel"/>
    <w:tmpl w:val="78E43A60"/>
    <w:name w:val="Style1"/>
    <w:styleLink w:val="Style1"/>
    <w:lvl w:ilvl="0">
      <w:start w:val="1"/>
      <w:numFmt w:val="decimal"/>
      <w:pStyle w:val="Heading2"/>
      <w:lvlText w:val="%1."/>
      <w:lvlJc w:val="left"/>
      <w:pPr>
        <w:ind w:left="431" w:hanging="431"/>
      </w:pPr>
      <w:rPr>
        <w:rFonts w:hint="default"/>
      </w:rPr>
    </w:lvl>
    <w:lvl w:ilvl="1">
      <w:start w:val="1"/>
      <w:numFmt w:val="decimal"/>
      <w:pStyle w:val="Heading3"/>
      <w:lvlText w:val="%1.%2"/>
      <w:lvlJc w:val="left"/>
      <w:pPr>
        <w:ind w:left="431" w:hanging="431"/>
      </w:pPr>
      <w:rPr>
        <w:rFonts w:hint="default"/>
      </w:rPr>
    </w:lvl>
    <w:lvl w:ilvl="2">
      <w:start w:val="1"/>
      <w:numFmt w:val="decimal"/>
      <w:pStyle w:val="Heading4"/>
      <w:lvlText w:val="%1.%2.%3"/>
      <w:lvlJc w:val="left"/>
      <w:pPr>
        <w:ind w:left="431" w:hanging="431"/>
      </w:pPr>
      <w:rPr>
        <w:rFonts w:hint="default"/>
      </w:rPr>
    </w:lvl>
    <w:lvl w:ilvl="3">
      <w:start w:val="1"/>
      <w:numFmt w:val="decimal"/>
      <w:pStyle w:val="Heading5"/>
      <w:lvlText w:val="%1.%2.%3.%4"/>
      <w:lvlJc w:val="left"/>
      <w:pPr>
        <w:ind w:left="431" w:hanging="431"/>
      </w:pPr>
      <w:rPr>
        <w:rFonts w:hint="default"/>
      </w:rPr>
    </w:lvl>
    <w:lvl w:ilvl="4">
      <w:start w:val="1"/>
      <w:numFmt w:val="decimal"/>
      <w:pStyle w:val="Heading6"/>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lvlText w:val="%1.%2.%3.%4.%5.%6.%7"/>
      <w:lvlJc w:val="left"/>
      <w:pPr>
        <w:ind w:left="431" w:hanging="431"/>
      </w:pPr>
      <w:rPr>
        <w:rFonts w:hint="default"/>
      </w:rPr>
    </w:lvl>
    <w:lvl w:ilvl="7">
      <w:start w:val="1"/>
      <w:numFmt w:val="decimal"/>
      <w:lvlText w:val="%1.%2.%3.%4.%5.%6.%7.%8"/>
      <w:lvlJc w:val="left"/>
      <w:pPr>
        <w:ind w:left="431" w:hanging="431"/>
      </w:pPr>
      <w:rPr>
        <w:rFonts w:hint="default"/>
      </w:rPr>
    </w:lvl>
    <w:lvl w:ilvl="8">
      <w:start w:val="1"/>
      <w:numFmt w:val="decimal"/>
      <w:lvlText w:val="%1.%2.%3.%4.%5.%6.%7.%8.%9"/>
      <w:lvlJc w:val="left"/>
      <w:pPr>
        <w:ind w:left="431" w:hanging="431"/>
      </w:pPr>
      <w:rPr>
        <w:rFonts w:hint="default"/>
      </w:rPr>
    </w:lvl>
  </w:abstractNum>
  <w:abstractNum w:abstractNumId="2">
    <w:nsid w:val="2ABB00AC"/>
    <w:multiLevelType w:val="multilevel"/>
    <w:tmpl w:val="B8565C9A"/>
    <w:lvl w:ilvl="0">
      <w:start w:val="1"/>
      <w:numFmt w:val="decimal"/>
      <w:lvlText w:val="%1"/>
      <w:lvlJc w:val="left"/>
      <w:pPr>
        <w:ind w:left="431" w:hanging="431"/>
      </w:pPr>
      <w:rPr>
        <w:rFonts w:hint="default"/>
      </w:rPr>
    </w:lvl>
    <w:lvl w:ilvl="1">
      <w:start w:val="1"/>
      <w:numFmt w:val="decimal"/>
      <w:lvlText w:val="%1.%2"/>
      <w:lvlJc w:val="left"/>
      <w:pPr>
        <w:ind w:left="431" w:hanging="431"/>
      </w:pPr>
      <w:rPr>
        <w:rFonts w:hint="default"/>
      </w:rPr>
    </w:lvl>
    <w:lvl w:ilvl="2">
      <w:start w:val="1"/>
      <w:numFmt w:val="decimal"/>
      <w:lvlText w:val="%1.%2.%3"/>
      <w:lvlJc w:val="left"/>
      <w:pPr>
        <w:ind w:left="431" w:hanging="431"/>
      </w:pPr>
      <w:rPr>
        <w:rFonts w:hint="default"/>
      </w:rPr>
    </w:lvl>
    <w:lvl w:ilvl="3">
      <w:start w:val="1"/>
      <w:numFmt w:val="decimal"/>
      <w:lvlText w:val="%1.%2.%3.%4"/>
      <w:lvlJc w:val="left"/>
      <w:pPr>
        <w:ind w:left="431" w:hanging="431"/>
      </w:pPr>
      <w:rPr>
        <w:rFonts w:hint="default"/>
      </w:rPr>
    </w:lvl>
    <w:lvl w:ilvl="4">
      <w:start w:val="1"/>
      <w:numFmt w:val="decimal"/>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pStyle w:val="Heading7"/>
      <w:lvlText w:val="%1.%2.%3.%4.%5.%6.%7"/>
      <w:lvlJc w:val="left"/>
      <w:pPr>
        <w:ind w:left="431" w:hanging="431"/>
      </w:pPr>
      <w:rPr>
        <w:rFonts w:hint="default"/>
      </w:rPr>
    </w:lvl>
    <w:lvl w:ilvl="7">
      <w:start w:val="1"/>
      <w:numFmt w:val="decimal"/>
      <w:pStyle w:val="Heading8"/>
      <w:lvlText w:val="%1.%2.%3.%4.%5.%6.%7.%8"/>
      <w:lvlJc w:val="left"/>
      <w:pPr>
        <w:ind w:left="431" w:hanging="431"/>
      </w:pPr>
      <w:rPr>
        <w:rFonts w:hint="default"/>
      </w:rPr>
    </w:lvl>
    <w:lvl w:ilvl="8">
      <w:start w:val="1"/>
      <w:numFmt w:val="decimal"/>
      <w:pStyle w:val="Heading9"/>
      <w:lvlText w:val="%1.%2.%3.%4.%5.%6.%7.%8.%9"/>
      <w:lvlJc w:val="left"/>
      <w:pPr>
        <w:ind w:left="431" w:hanging="431"/>
      </w:pPr>
      <w:rPr>
        <w:rFonts w:hint="default"/>
      </w:rPr>
    </w:lvl>
  </w:abstractNum>
  <w:abstractNum w:abstractNumId="3">
    <w:nsid w:val="4BF423AA"/>
    <w:multiLevelType w:val="multilevel"/>
    <w:tmpl w:val="78E43A60"/>
    <w:name w:val="Style12"/>
    <w:numStyleLink w:val="Style1"/>
  </w:abstractNum>
  <w:abstractNum w:abstractNumId="4">
    <w:nsid w:val="5A0C4719"/>
    <w:multiLevelType w:val="multilevel"/>
    <w:tmpl w:val="78E43A60"/>
    <w:name w:val="Style13"/>
    <w:numStyleLink w:val="Style1"/>
  </w:abstractNum>
  <w:abstractNum w:abstractNumId="5">
    <w:nsid w:val="609C0DCC"/>
    <w:multiLevelType w:val="multilevel"/>
    <w:tmpl w:val="DBFE22B8"/>
    <w:lvl w:ilvl="0">
      <w:start w:val="1"/>
      <w:numFmt w:val="decimal"/>
      <w:pStyle w:val="Paragrdouble"/>
      <w:lvlText w:val="[%1]"/>
      <w:lvlJc w:val="left"/>
      <w:pPr>
        <w:tabs>
          <w:tab w:val="num" w:pos="360"/>
        </w:tabs>
        <w:ind w:left="0" w:firstLine="0"/>
      </w:pPr>
      <w:rPr>
        <w:rFonts w:ascii="Arial" w:hAnsi="Arial" w:hint="default"/>
        <w:b w:val="0"/>
        <w:i w:val="0"/>
        <w:sz w:val="24"/>
      </w:rPr>
    </w:lvl>
    <w:lvl w:ilvl="1">
      <w:start w:val="1"/>
      <w:numFmt w:val="decimal"/>
      <w:pStyle w:val="Sous-paragraphe"/>
      <w:lvlText w:val="%1.%2."/>
      <w:lvlJc w:val="left"/>
      <w:pPr>
        <w:tabs>
          <w:tab w:val="num" w:pos="1000"/>
        </w:tabs>
        <w:ind w:left="1000"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16cid:durableId="805777557">
    <w:abstractNumId w:val="5"/>
  </w:num>
  <w:num w:numId="2" w16cid:durableId="1313750657">
    <w:abstractNumId w:val="5"/>
  </w:num>
  <w:num w:numId="3" w16cid:durableId="145634241">
    <w:abstractNumId w:val="2"/>
  </w:num>
  <w:num w:numId="4" w16cid:durableId="1566405571">
    <w:abstractNumId w:val="1"/>
    <w:lvlOverride w:ilvl="4">
      <w:lvl w:ilvl="4">
        <w:start w:val="1"/>
        <w:numFmt w:val="decimal"/>
        <w:pStyle w:val="Heading6"/>
        <w:lvlText w:val="%1.%2.%3.%4.%5"/>
        <w:lvlJc w:val="left"/>
        <w:pPr>
          <w:ind w:left="431" w:hanging="431"/>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Override>
  </w:num>
  <w:num w:numId="5" w16cid:durableId="1096946076">
    <w:abstractNumId w:val="1"/>
  </w:num>
  <w:num w:numId="6" w16cid:durableId="1523786964">
    <w:abstractNumId w:val="0"/>
  </w:num>
  <w:num w:numId="7" w16cid:durableId="63814666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ttachedTemplate r:id="rId1"/>
  <w:defaultTabStop w:val="731"/>
  <w:hyphenationZone w:val="425"/>
  <w:displayHorizontalDrawingGridEvery w:val="0"/>
  <w:displayVerticalDrawingGridEvery w:val="0"/>
  <w:doNotUseMarginsForDrawingGridOrigin/>
  <w:noPunctuationKerning/>
  <w:characterSpacingControl w:val="doNotCompress"/>
  <w:footnotePr>
    <w:numRestart w:val="eachSect"/>
    <w:footnote w:id="0"/>
    <w:footnote w:id="1"/>
  </w:foot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8CB"/>
    <w:rsid w:val="00003683"/>
    <w:rsid w:val="00003E3D"/>
    <w:rsid w:val="00005D6A"/>
    <w:rsid w:val="00013480"/>
    <w:rsid w:val="00015F52"/>
    <w:rsid w:val="0001626F"/>
    <w:rsid w:val="0002365C"/>
    <w:rsid w:val="00024BFD"/>
    <w:rsid w:val="00025629"/>
    <w:rsid w:val="000377F8"/>
    <w:rsid w:val="00040446"/>
    <w:rsid w:val="00044C12"/>
    <w:rsid w:val="000451A8"/>
    <w:rsid w:val="00047528"/>
    <w:rsid w:val="00052D7E"/>
    <w:rsid w:val="00054164"/>
    <w:rsid w:val="00062017"/>
    <w:rsid w:val="00066328"/>
    <w:rsid w:val="00072567"/>
    <w:rsid w:val="0008001F"/>
    <w:rsid w:val="000A0CDD"/>
    <w:rsid w:val="000B07B5"/>
    <w:rsid w:val="000B3CBE"/>
    <w:rsid w:val="000B56C3"/>
    <w:rsid w:val="000B65AF"/>
    <w:rsid w:val="000C250A"/>
    <w:rsid w:val="000C300C"/>
    <w:rsid w:val="000C4189"/>
    <w:rsid w:val="000D0C3D"/>
    <w:rsid w:val="000E0184"/>
    <w:rsid w:val="000E1E87"/>
    <w:rsid w:val="000E419B"/>
    <w:rsid w:val="000E4264"/>
    <w:rsid w:val="000E7761"/>
    <w:rsid w:val="000F3953"/>
    <w:rsid w:val="000F3A54"/>
    <w:rsid w:val="0010750A"/>
    <w:rsid w:val="00117084"/>
    <w:rsid w:val="00121A72"/>
    <w:rsid w:val="00123F43"/>
    <w:rsid w:val="00124213"/>
    <w:rsid w:val="00124DA8"/>
    <w:rsid w:val="00124E0A"/>
    <w:rsid w:val="001268C1"/>
    <w:rsid w:val="00152899"/>
    <w:rsid w:val="00154914"/>
    <w:rsid w:val="0017184A"/>
    <w:rsid w:val="001725A3"/>
    <w:rsid w:val="001728AC"/>
    <w:rsid w:val="00174DDC"/>
    <w:rsid w:val="0018441B"/>
    <w:rsid w:val="00185F4D"/>
    <w:rsid w:val="001862A8"/>
    <w:rsid w:val="00196C8A"/>
    <w:rsid w:val="001A0420"/>
    <w:rsid w:val="001A71D9"/>
    <w:rsid w:val="001B0DA6"/>
    <w:rsid w:val="001B3359"/>
    <w:rsid w:val="001B35E7"/>
    <w:rsid w:val="001B7031"/>
    <w:rsid w:val="001D5E60"/>
    <w:rsid w:val="001D68CB"/>
    <w:rsid w:val="001D6F5B"/>
    <w:rsid w:val="001E5F23"/>
    <w:rsid w:val="001E64CA"/>
    <w:rsid w:val="001E71E3"/>
    <w:rsid w:val="001F0F9B"/>
    <w:rsid w:val="001F1337"/>
    <w:rsid w:val="00230205"/>
    <w:rsid w:val="00234BA1"/>
    <w:rsid w:val="0025111D"/>
    <w:rsid w:val="00251D4F"/>
    <w:rsid w:val="002566D2"/>
    <w:rsid w:val="002670E4"/>
    <w:rsid w:val="0027006C"/>
    <w:rsid w:val="00282FAF"/>
    <w:rsid w:val="00285163"/>
    <w:rsid w:val="00285832"/>
    <w:rsid w:val="002A79C3"/>
    <w:rsid w:val="002B296B"/>
    <w:rsid w:val="002B3DEE"/>
    <w:rsid w:val="002B4814"/>
    <w:rsid w:val="002C0C9F"/>
    <w:rsid w:val="002C4AE0"/>
    <w:rsid w:val="002F75AF"/>
    <w:rsid w:val="00300D5B"/>
    <w:rsid w:val="00326D6F"/>
    <w:rsid w:val="00332DE1"/>
    <w:rsid w:val="0033722E"/>
    <w:rsid w:val="0034592B"/>
    <w:rsid w:val="00345E83"/>
    <w:rsid w:val="00351A67"/>
    <w:rsid w:val="00354D71"/>
    <w:rsid w:val="00356897"/>
    <w:rsid w:val="00356B65"/>
    <w:rsid w:val="00372E83"/>
    <w:rsid w:val="00384726"/>
    <w:rsid w:val="00385D77"/>
    <w:rsid w:val="003B7DA0"/>
    <w:rsid w:val="003C5BCF"/>
    <w:rsid w:val="003E7848"/>
    <w:rsid w:val="003F0DA6"/>
    <w:rsid w:val="00411FEB"/>
    <w:rsid w:val="00414799"/>
    <w:rsid w:val="00415315"/>
    <w:rsid w:val="004246AF"/>
    <w:rsid w:val="0042791B"/>
    <w:rsid w:val="00460672"/>
    <w:rsid w:val="004720A0"/>
    <w:rsid w:val="00475760"/>
    <w:rsid w:val="00495C61"/>
    <w:rsid w:val="004A5D97"/>
    <w:rsid w:val="004B39A2"/>
    <w:rsid w:val="004B516F"/>
    <w:rsid w:val="004C4516"/>
    <w:rsid w:val="004D0E7D"/>
    <w:rsid w:val="004D20E0"/>
    <w:rsid w:val="004E7432"/>
    <w:rsid w:val="00507F7E"/>
    <w:rsid w:val="0051347C"/>
    <w:rsid w:val="005330AB"/>
    <w:rsid w:val="00534479"/>
    <w:rsid w:val="005417CD"/>
    <w:rsid w:val="00545F50"/>
    <w:rsid w:val="00552698"/>
    <w:rsid w:val="00553DC2"/>
    <w:rsid w:val="00557E23"/>
    <w:rsid w:val="00561E84"/>
    <w:rsid w:val="00567E82"/>
    <w:rsid w:val="005740CA"/>
    <w:rsid w:val="005760F6"/>
    <w:rsid w:val="00586531"/>
    <w:rsid w:val="0059390B"/>
    <w:rsid w:val="0059482C"/>
    <w:rsid w:val="005A0250"/>
    <w:rsid w:val="005A30BB"/>
    <w:rsid w:val="005B031B"/>
    <w:rsid w:val="005B35BE"/>
    <w:rsid w:val="005B458F"/>
    <w:rsid w:val="005B514A"/>
    <w:rsid w:val="005B6D5E"/>
    <w:rsid w:val="005D4927"/>
    <w:rsid w:val="005F42A4"/>
    <w:rsid w:val="00606D59"/>
    <w:rsid w:val="0061741E"/>
    <w:rsid w:val="00620817"/>
    <w:rsid w:val="006231A5"/>
    <w:rsid w:val="00631914"/>
    <w:rsid w:val="00642AB5"/>
    <w:rsid w:val="00642AC8"/>
    <w:rsid w:val="00646B1F"/>
    <w:rsid w:val="00652A42"/>
    <w:rsid w:val="00656FB5"/>
    <w:rsid w:val="006633D0"/>
    <w:rsid w:val="00675358"/>
    <w:rsid w:val="006772B7"/>
    <w:rsid w:val="00681411"/>
    <w:rsid w:val="00682EB7"/>
    <w:rsid w:val="00683F2A"/>
    <w:rsid w:val="00685CAA"/>
    <w:rsid w:val="006971EA"/>
    <w:rsid w:val="006A5941"/>
    <w:rsid w:val="006B01FB"/>
    <w:rsid w:val="006B3F2A"/>
    <w:rsid w:val="006C082A"/>
    <w:rsid w:val="006C1C47"/>
    <w:rsid w:val="006D0AC2"/>
    <w:rsid w:val="006D334E"/>
    <w:rsid w:val="006D7FF8"/>
    <w:rsid w:val="006E113B"/>
    <w:rsid w:val="006F082B"/>
    <w:rsid w:val="007037E8"/>
    <w:rsid w:val="00721C6E"/>
    <w:rsid w:val="00740117"/>
    <w:rsid w:val="00746871"/>
    <w:rsid w:val="00750CE6"/>
    <w:rsid w:val="00756DC8"/>
    <w:rsid w:val="007636A5"/>
    <w:rsid w:val="00773EE9"/>
    <w:rsid w:val="00776F90"/>
    <w:rsid w:val="00790BD1"/>
    <w:rsid w:val="007A1C2F"/>
    <w:rsid w:val="007A4E9C"/>
    <w:rsid w:val="007B020F"/>
    <w:rsid w:val="007B1A6E"/>
    <w:rsid w:val="007B6503"/>
    <w:rsid w:val="007C088A"/>
    <w:rsid w:val="007D0AA2"/>
    <w:rsid w:val="007D0ACB"/>
    <w:rsid w:val="007E1D61"/>
    <w:rsid w:val="007F2C78"/>
    <w:rsid w:val="007F4994"/>
    <w:rsid w:val="007F5397"/>
    <w:rsid w:val="007F5FD4"/>
    <w:rsid w:val="007F6409"/>
    <w:rsid w:val="00804B13"/>
    <w:rsid w:val="008211B2"/>
    <w:rsid w:val="00823984"/>
    <w:rsid w:val="00823E36"/>
    <w:rsid w:val="008269B2"/>
    <w:rsid w:val="00835AC8"/>
    <w:rsid w:val="00836126"/>
    <w:rsid w:val="00841081"/>
    <w:rsid w:val="008469D4"/>
    <w:rsid w:val="0086420F"/>
    <w:rsid w:val="00871E54"/>
    <w:rsid w:val="008722F6"/>
    <w:rsid w:val="00881CDB"/>
    <w:rsid w:val="0089539E"/>
    <w:rsid w:val="008964B9"/>
    <w:rsid w:val="008A2600"/>
    <w:rsid w:val="008B43D9"/>
    <w:rsid w:val="008C21FB"/>
    <w:rsid w:val="008D27AA"/>
    <w:rsid w:val="008D3AB0"/>
    <w:rsid w:val="008D57E6"/>
    <w:rsid w:val="008E0450"/>
    <w:rsid w:val="008E0664"/>
    <w:rsid w:val="008E2D8B"/>
    <w:rsid w:val="008E52A0"/>
    <w:rsid w:val="008F38B5"/>
    <w:rsid w:val="00901869"/>
    <w:rsid w:val="00911993"/>
    <w:rsid w:val="009328BA"/>
    <w:rsid w:val="00934ADC"/>
    <w:rsid w:val="00936FF1"/>
    <w:rsid w:val="00951529"/>
    <w:rsid w:val="00952AB6"/>
    <w:rsid w:val="00955B6E"/>
    <w:rsid w:val="00962CDD"/>
    <w:rsid w:val="00963309"/>
    <w:rsid w:val="00974E54"/>
    <w:rsid w:val="00974EDB"/>
    <w:rsid w:val="00982A23"/>
    <w:rsid w:val="00990B8A"/>
    <w:rsid w:val="009920C1"/>
    <w:rsid w:val="009B2F95"/>
    <w:rsid w:val="009C75DA"/>
    <w:rsid w:val="009C7A0B"/>
    <w:rsid w:val="009C7EEE"/>
    <w:rsid w:val="009E39A3"/>
    <w:rsid w:val="00A0799D"/>
    <w:rsid w:val="00A14FD6"/>
    <w:rsid w:val="00A179BB"/>
    <w:rsid w:val="00A35B96"/>
    <w:rsid w:val="00A36300"/>
    <w:rsid w:val="00A420F4"/>
    <w:rsid w:val="00A513EC"/>
    <w:rsid w:val="00A60827"/>
    <w:rsid w:val="00A700C3"/>
    <w:rsid w:val="00A70CD2"/>
    <w:rsid w:val="00A81C9F"/>
    <w:rsid w:val="00A8362E"/>
    <w:rsid w:val="00AA29F7"/>
    <w:rsid w:val="00AA3A13"/>
    <w:rsid w:val="00AA55E1"/>
    <w:rsid w:val="00AB5EB8"/>
    <w:rsid w:val="00AB7E44"/>
    <w:rsid w:val="00AC338B"/>
    <w:rsid w:val="00AC6E5E"/>
    <w:rsid w:val="00AD2FA3"/>
    <w:rsid w:val="00AE1479"/>
    <w:rsid w:val="00AE353C"/>
    <w:rsid w:val="00AF1575"/>
    <w:rsid w:val="00B0552D"/>
    <w:rsid w:val="00B062A7"/>
    <w:rsid w:val="00B10071"/>
    <w:rsid w:val="00B166E0"/>
    <w:rsid w:val="00B2335C"/>
    <w:rsid w:val="00B2411A"/>
    <w:rsid w:val="00B332AD"/>
    <w:rsid w:val="00B35B47"/>
    <w:rsid w:val="00B36454"/>
    <w:rsid w:val="00B367AB"/>
    <w:rsid w:val="00B5697D"/>
    <w:rsid w:val="00B62598"/>
    <w:rsid w:val="00B672DF"/>
    <w:rsid w:val="00B72383"/>
    <w:rsid w:val="00B725A0"/>
    <w:rsid w:val="00B77D36"/>
    <w:rsid w:val="00B83077"/>
    <w:rsid w:val="00B83779"/>
    <w:rsid w:val="00B867A0"/>
    <w:rsid w:val="00B915F4"/>
    <w:rsid w:val="00B935AD"/>
    <w:rsid w:val="00B9454A"/>
    <w:rsid w:val="00BA6C1D"/>
    <w:rsid w:val="00BA7A1B"/>
    <w:rsid w:val="00BB35D3"/>
    <w:rsid w:val="00BB5792"/>
    <w:rsid w:val="00BB77C2"/>
    <w:rsid w:val="00BC0C66"/>
    <w:rsid w:val="00BC427A"/>
    <w:rsid w:val="00BE79BE"/>
    <w:rsid w:val="00BF43F3"/>
    <w:rsid w:val="00C025FC"/>
    <w:rsid w:val="00C053BA"/>
    <w:rsid w:val="00C06BCA"/>
    <w:rsid w:val="00C34FBB"/>
    <w:rsid w:val="00C400AA"/>
    <w:rsid w:val="00C431B1"/>
    <w:rsid w:val="00C43F98"/>
    <w:rsid w:val="00C45ABE"/>
    <w:rsid w:val="00C467F3"/>
    <w:rsid w:val="00C46DAC"/>
    <w:rsid w:val="00C56A95"/>
    <w:rsid w:val="00C618CB"/>
    <w:rsid w:val="00C66B41"/>
    <w:rsid w:val="00C93342"/>
    <w:rsid w:val="00C93DBD"/>
    <w:rsid w:val="00CA62BE"/>
    <w:rsid w:val="00CA67A5"/>
    <w:rsid w:val="00CC2109"/>
    <w:rsid w:val="00CD017D"/>
    <w:rsid w:val="00CD4F89"/>
    <w:rsid w:val="00CD72BA"/>
    <w:rsid w:val="00CE1CAF"/>
    <w:rsid w:val="00CE5995"/>
    <w:rsid w:val="00CE5BEB"/>
    <w:rsid w:val="00CE7D98"/>
    <w:rsid w:val="00CF51ED"/>
    <w:rsid w:val="00CF699A"/>
    <w:rsid w:val="00D12D92"/>
    <w:rsid w:val="00D13E48"/>
    <w:rsid w:val="00D14427"/>
    <w:rsid w:val="00D25704"/>
    <w:rsid w:val="00D30171"/>
    <w:rsid w:val="00D44E3A"/>
    <w:rsid w:val="00D47007"/>
    <w:rsid w:val="00D510CE"/>
    <w:rsid w:val="00D51A11"/>
    <w:rsid w:val="00D51B43"/>
    <w:rsid w:val="00D65DCE"/>
    <w:rsid w:val="00D72BD0"/>
    <w:rsid w:val="00D751E5"/>
    <w:rsid w:val="00D760A9"/>
    <w:rsid w:val="00D9199E"/>
    <w:rsid w:val="00DA2EAB"/>
    <w:rsid w:val="00DB2410"/>
    <w:rsid w:val="00DC033F"/>
    <w:rsid w:val="00DC6384"/>
    <w:rsid w:val="00DD2CAA"/>
    <w:rsid w:val="00DE25DB"/>
    <w:rsid w:val="00DE7CC9"/>
    <w:rsid w:val="00DF7E86"/>
    <w:rsid w:val="00E01237"/>
    <w:rsid w:val="00E02C3B"/>
    <w:rsid w:val="00E04189"/>
    <w:rsid w:val="00E0520B"/>
    <w:rsid w:val="00E15317"/>
    <w:rsid w:val="00E217C1"/>
    <w:rsid w:val="00E26013"/>
    <w:rsid w:val="00E31D13"/>
    <w:rsid w:val="00E50678"/>
    <w:rsid w:val="00E531A1"/>
    <w:rsid w:val="00E561D4"/>
    <w:rsid w:val="00E56C2F"/>
    <w:rsid w:val="00E7365A"/>
    <w:rsid w:val="00EB4091"/>
    <w:rsid w:val="00EC0CF9"/>
    <w:rsid w:val="00EC226E"/>
    <w:rsid w:val="00EC76EC"/>
    <w:rsid w:val="00ED0EE2"/>
    <w:rsid w:val="00ED6447"/>
    <w:rsid w:val="00ED655B"/>
    <w:rsid w:val="00EE1177"/>
    <w:rsid w:val="00EE182B"/>
    <w:rsid w:val="00EE26A0"/>
    <w:rsid w:val="00EE4B19"/>
    <w:rsid w:val="00EF05F8"/>
    <w:rsid w:val="00F01AED"/>
    <w:rsid w:val="00F05D87"/>
    <w:rsid w:val="00F06392"/>
    <w:rsid w:val="00F1055D"/>
    <w:rsid w:val="00F12512"/>
    <w:rsid w:val="00F1701D"/>
    <w:rsid w:val="00F35447"/>
    <w:rsid w:val="00F50F7A"/>
    <w:rsid w:val="00F521AA"/>
    <w:rsid w:val="00F74508"/>
    <w:rsid w:val="00F97E8A"/>
    <w:rsid w:val="00FA66CC"/>
    <w:rsid w:val="00FA7202"/>
    <w:rsid w:val="00FA7DF9"/>
    <w:rsid w:val="00FB7E68"/>
    <w:rsid w:val="00FC15D0"/>
    <w:rsid w:val="00FC4BA3"/>
    <w:rsid w:val="00FC676F"/>
    <w:rsid w:val="00FD07E5"/>
    <w:rsid w:val="00FD3121"/>
    <w:rsid w:val="00FD661A"/>
    <w:rsid w:val="00FE15BB"/>
    <w:rsid w:val="00FE6257"/>
    <w:rsid w:val="00FF4DB7"/>
    <w:rsid w:val="00FF5C7A"/>
  </w:rsids>
  <m:mathPr>
    <m:mathFont m:val="Cambria Math"/>
  </m:mathPr>
  <w:themeFontLang w:val="fr-CA"/>
  <w:clrSchemeMapping w:bg1="light1" w:t1="dark1" w:bg2="light2" w:t2="dark2" w:accent1="accent1" w:accent2="accent2" w:accent3="accent3" w:accent4="accent4" w:accent5="accent5" w:accent6="accent6" w:hyperlink="hyperlink" w:followedHyperlink="followedHyperlink"/>
  <w:doNotIncludeSubdocsInStats/>
  <w14:docId w14:val="52B6585D"/>
  <w15:chartTrackingRefBased/>
  <w15:docId w15:val="{8F39BAE5-7E83-4694-BB9C-22ABBD527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sz w:val="24"/>
      <w:lang w:val="en-CA" w:eastAsia="fr-FR"/>
    </w:rPr>
  </w:style>
  <w:style w:type="paragraph" w:styleId="Heading1">
    <w:name w:val="heading 1"/>
    <w:basedOn w:val="Normal"/>
    <w:next w:val="Paragrdouble"/>
    <w:qFormat/>
    <w:rsid w:val="00D12D92"/>
    <w:pPr>
      <w:keepNext/>
      <w:spacing w:before="240" w:after="60"/>
      <w:ind w:left="432" w:hanging="432"/>
      <w:outlineLvl w:val="0"/>
    </w:pPr>
    <w:rPr>
      <w:b/>
      <w:kern w:val="28"/>
      <w:u w:val="single"/>
    </w:rPr>
  </w:style>
  <w:style w:type="paragraph" w:styleId="Heading2">
    <w:name w:val="heading 2"/>
    <w:basedOn w:val="Normal"/>
    <w:next w:val="Paragrdouble"/>
    <w:link w:val="Titre2Car"/>
    <w:qFormat/>
    <w:rsid w:val="005B031B"/>
    <w:pPr>
      <w:keepNext/>
      <w:numPr>
        <w:numId w:val="4"/>
      </w:numPr>
      <w:spacing w:before="240" w:after="60"/>
      <w:ind w:left="709" w:hanging="709"/>
      <w:outlineLvl w:val="1"/>
    </w:pPr>
    <w:rPr>
      <w:b/>
      <w:caps/>
      <w:u w:val="single"/>
    </w:rPr>
  </w:style>
  <w:style w:type="paragraph" w:styleId="Heading3">
    <w:name w:val="heading 3"/>
    <w:basedOn w:val="Normal"/>
    <w:next w:val="Paragrdouble"/>
    <w:qFormat/>
    <w:rsid w:val="00AF1575"/>
    <w:pPr>
      <w:keepNext/>
      <w:numPr>
        <w:ilvl w:val="1"/>
        <w:numId w:val="4"/>
      </w:numPr>
      <w:spacing w:before="240" w:after="60"/>
      <w:ind w:left="1162"/>
      <w:outlineLvl w:val="2"/>
    </w:pPr>
    <w:rPr>
      <w:b/>
    </w:rPr>
  </w:style>
  <w:style w:type="paragraph" w:styleId="Heading4">
    <w:name w:val="heading 4"/>
    <w:basedOn w:val="Normal"/>
    <w:next w:val="Paragrdouble"/>
    <w:qFormat/>
    <w:rsid w:val="00AF1575"/>
    <w:pPr>
      <w:keepNext/>
      <w:numPr>
        <w:ilvl w:val="2"/>
        <w:numId w:val="4"/>
      </w:numPr>
      <w:spacing w:before="240" w:after="60"/>
      <w:ind w:left="1985" w:hanging="851"/>
      <w:outlineLvl w:val="3"/>
    </w:pPr>
    <w:rPr>
      <w:b/>
    </w:rPr>
  </w:style>
  <w:style w:type="paragraph" w:styleId="Heading5">
    <w:name w:val="heading 5"/>
    <w:basedOn w:val="Heading4"/>
    <w:next w:val="Paragrdouble"/>
    <w:qFormat/>
    <w:rsid w:val="001B0DA6"/>
    <w:pPr>
      <w:numPr>
        <w:ilvl w:val="3"/>
      </w:numPr>
      <w:ind w:left="2495" w:hanging="1077"/>
      <w:outlineLvl w:val="4"/>
    </w:pPr>
  </w:style>
  <w:style w:type="paragraph" w:styleId="Heading6">
    <w:name w:val="heading 6"/>
    <w:basedOn w:val="Heading5"/>
    <w:next w:val="Paragrdouble"/>
    <w:qFormat/>
    <w:rsid w:val="00C025FC"/>
    <w:pPr>
      <w:numPr>
        <w:ilvl w:val="4"/>
      </w:numPr>
      <w:ind w:left="3657" w:hanging="1247"/>
      <w:outlineLvl w:val="5"/>
    </w:pPr>
  </w:style>
  <w:style w:type="paragraph" w:styleId="Heading7">
    <w:name w:val="heading 7"/>
    <w:basedOn w:val="Normal"/>
    <w:next w:val="Normal"/>
    <w:qFormat/>
    <w:pPr>
      <w:numPr>
        <w:ilvl w:val="6"/>
        <w:numId w:val="3"/>
      </w:numPr>
      <w:spacing w:before="240" w:after="60"/>
      <w:outlineLvl w:val="6"/>
    </w:pPr>
    <w:rPr>
      <w:sz w:val="20"/>
    </w:rPr>
  </w:style>
  <w:style w:type="paragraph" w:styleId="Heading8">
    <w:name w:val="heading 8"/>
    <w:basedOn w:val="Normal"/>
    <w:next w:val="Normal"/>
    <w:qFormat/>
    <w:pPr>
      <w:numPr>
        <w:ilvl w:val="7"/>
        <w:numId w:val="3"/>
      </w:numPr>
      <w:spacing w:before="240" w:after="60"/>
      <w:outlineLvl w:val="7"/>
    </w:pPr>
    <w:rPr>
      <w:i/>
      <w:sz w:val="20"/>
    </w:rPr>
  </w:style>
  <w:style w:type="paragraph" w:styleId="Heading9">
    <w:name w:val="heading 9"/>
    <w:basedOn w:val="Normal"/>
    <w:next w:val="Normal"/>
    <w:qFormat/>
    <w:pPr>
      <w:numPr>
        <w:ilvl w:val="8"/>
        <w:numId w:val="3"/>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double">
    <w:name w:val="Paragr. double"/>
    <w:basedOn w:val="Normal"/>
    <w:rsid w:val="00AF1575"/>
    <w:pPr>
      <w:numPr>
        <w:numId w:val="1"/>
      </w:numPr>
      <w:spacing w:before="120" w:after="120" w:line="500" w:lineRule="exact"/>
      <w:jc w:val="both"/>
    </w:pPr>
    <w:rPr>
      <w:kern w:val="28"/>
    </w:rPr>
  </w:style>
  <w:style w:type="paragraph" w:customStyle="1" w:styleId="Citationenretrait">
    <w:name w:val="Citation en retrait"/>
    <w:basedOn w:val="Normal"/>
    <w:pPr>
      <w:spacing w:before="120" w:after="120"/>
      <w:ind w:left="720" w:right="720"/>
      <w:jc w:val="both"/>
    </w:pPr>
    <w:rPr>
      <w:kern w:val="24"/>
      <w:sz w:val="22"/>
    </w:rPr>
  </w:style>
  <w:style w:type="character" w:customStyle="1" w:styleId="Citationintgre">
    <w:name w:val="Citation intégrée"/>
    <w:rPr>
      <w:rFonts w:ascii="Arial" w:hAnsi="Arial"/>
      <w:i/>
      <w:noProof w:val="0"/>
      <w:sz w:val="22"/>
      <w:lang w:val="fr-CA"/>
    </w:rPr>
  </w:style>
  <w:style w:type="paragraph" w:styleId="BodyText">
    <w:name w:val="Body Text"/>
    <w:basedOn w:val="Normal"/>
    <w:semiHidden/>
    <w:pPr>
      <w:spacing w:after="120"/>
    </w:pPr>
  </w:style>
  <w:style w:type="paragraph" w:styleId="FootnoteText">
    <w:name w:val="footnote text"/>
    <w:basedOn w:val="Normal"/>
    <w:link w:val="NotedebasdepageCar"/>
    <w:semiHidden/>
    <w:pPr>
      <w:ind w:left="360" w:hanging="360"/>
      <w:jc w:val="both"/>
    </w:pPr>
    <w:rPr>
      <w:sz w:val="20"/>
    </w:rPr>
  </w:style>
  <w:style w:type="paragraph" w:styleId="EndnoteText">
    <w:name w:val="endnote text"/>
    <w:basedOn w:val="Normal"/>
    <w:semiHidden/>
    <w:pPr>
      <w:ind w:left="-360"/>
      <w:jc w:val="both"/>
    </w:pPr>
    <w:rPr>
      <w:sz w:val="20"/>
    </w:rPr>
  </w:style>
  <w:style w:type="paragraph" w:customStyle="1" w:styleId="zSoquijlblCour">
    <w:name w:val="zSoquij_lblCour"/>
    <w:basedOn w:val="Normal"/>
    <w:pPr>
      <w:jc w:val="center"/>
    </w:pPr>
    <w:rPr>
      <w:b/>
      <w:sz w:val="36"/>
    </w:rPr>
  </w:style>
  <w:style w:type="paragraph" w:customStyle="1" w:styleId="zSoquijlblPays">
    <w:name w:val="zSoquij_lblPays"/>
    <w:basedOn w:val="Normal"/>
    <w:rsid w:val="00C025FC"/>
    <w:rPr>
      <w:caps/>
    </w:rPr>
  </w:style>
  <w:style w:type="paragraph" w:customStyle="1" w:styleId="zSoquijlblProvince">
    <w:name w:val="zSoquij_lblProvince"/>
    <w:basedOn w:val="Normal"/>
    <w:rsid w:val="00C025FC"/>
    <w:rPr>
      <w:caps/>
    </w:rPr>
  </w:style>
  <w:style w:type="paragraph" w:customStyle="1" w:styleId="zSoquijlblGreffe">
    <w:name w:val="zSoquij_lblGreffe"/>
    <w:basedOn w:val="Normal"/>
    <w:rsid w:val="00C025FC"/>
    <w:pPr>
      <w:ind w:left="70"/>
    </w:pPr>
    <w:rPr>
      <w:caps/>
    </w:rPr>
  </w:style>
  <w:style w:type="paragraph" w:customStyle="1" w:styleId="zSoquijdatGreffe">
    <w:name w:val="zSoquij_datGreffe"/>
    <w:basedOn w:val="Normal"/>
    <w:rsid w:val="00C025FC"/>
    <w:pPr>
      <w:ind w:left="29"/>
    </w:pPr>
    <w:rPr>
      <w:caps/>
    </w:rPr>
  </w:style>
  <w:style w:type="paragraph" w:customStyle="1" w:styleId="zSoquijdatDivision">
    <w:name w:val="zSoquij_datDivision"/>
    <w:basedOn w:val="Normal"/>
    <w:pPr>
      <w:jc w:val="center"/>
    </w:pPr>
    <w:rPr>
      <w:sz w:val="22"/>
    </w:rPr>
  </w:style>
  <w:style w:type="paragraph" w:customStyle="1" w:styleId="zSoquijlblNoDossier">
    <w:name w:val="zSoquij_lblNoDossier"/>
    <w:basedOn w:val="Normal"/>
  </w:style>
  <w:style w:type="paragraph" w:customStyle="1" w:styleId="zSoquijdatNoDossier">
    <w:name w:val="zSoquij_datNoDossier"/>
    <w:basedOn w:val="Normal"/>
  </w:style>
  <w:style w:type="paragraph" w:customStyle="1" w:styleId="zSoquijdatNoDossierAnt">
    <w:name w:val="zSoquij_datNoDossierAnt"/>
    <w:basedOn w:val="Normal"/>
  </w:style>
  <w:style w:type="paragraph" w:customStyle="1" w:styleId="zSoquijdatDateJugement">
    <w:name w:val="zSoquij_datDateJugement"/>
    <w:basedOn w:val="Normal"/>
  </w:style>
  <w:style w:type="paragraph" w:customStyle="1" w:styleId="zSoquijlblDateJugement">
    <w:name w:val="zSoquij_lblDateJugement"/>
    <w:basedOn w:val="Normal"/>
  </w:style>
  <w:style w:type="paragraph" w:customStyle="1" w:styleId="zSoquijlblJuge">
    <w:name w:val="zSoquij_lblJuge"/>
    <w:basedOn w:val="Normal"/>
    <w:rsid w:val="00C025FC"/>
    <w:pPr>
      <w:ind w:left="70"/>
    </w:pPr>
    <w:rPr>
      <w:b/>
      <w:caps/>
    </w:rPr>
  </w:style>
  <w:style w:type="paragraph" w:customStyle="1" w:styleId="zSoquijdatQteJuge">
    <w:name w:val="zSoquij_datQteJuge"/>
    <w:basedOn w:val="Normal"/>
    <w:rsid w:val="00C025FC"/>
    <w:pPr>
      <w:ind w:left="29"/>
    </w:pPr>
    <w:rPr>
      <w:b/>
      <w:caps/>
    </w:rPr>
  </w:style>
  <w:style w:type="paragraph" w:customStyle="1" w:styleId="zSoquijdatJuge">
    <w:name w:val="zSoquij_datJuge"/>
    <w:basedOn w:val="Normal"/>
    <w:rsid w:val="005B031B"/>
    <w:pPr>
      <w:ind w:left="52"/>
    </w:pPr>
    <w:rPr>
      <w:b/>
      <w:caps/>
    </w:rPr>
  </w:style>
  <w:style w:type="paragraph" w:customStyle="1" w:styleId="zSoquijdatNomPartieDem">
    <w:name w:val="zSoquij_datNomPartieDem"/>
    <w:basedOn w:val="Normal"/>
    <w:rPr>
      <w:b/>
      <w:bCs/>
    </w:rPr>
  </w:style>
  <w:style w:type="paragraph" w:customStyle="1" w:styleId="zSoquijdatQtePartieDem">
    <w:name w:val="zSoquij_datQtePartieDem"/>
    <w:basedOn w:val="Normal"/>
    <w:pPr>
      <w:ind w:left="708"/>
    </w:pPr>
  </w:style>
  <w:style w:type="paragraph" w:customStyle="1" w:styleId="zSoquijlblLienParties">
    <w:name w:val="zSoquij_lblLienParties"/>
    <w:basedOn w:val="Normal"/>
  </w:style>
  <w:style w:type="paragraph" w:customStyle="1" w:styleId="zSoquijdatNomPartieDef">
    <w:name w:val="zSoquij_datNomPartieDef"/>
    <w:basedOn w:val="Normal"/>
    <w:rPr>
      <w:b/>
      <w:bCs/>
    </w:rPr>
  </w:style>
  <w:style w:type="paragraph" w:customStyle="1" w:styleId="zSoquijdatQtePartieDef">
    <w:name w:val="zSoquij_datQtePartieDef"/>
    <w:basedOn w:val="Normal"/>
    <w:pPr>
      <w:ind w:left="708"/>
    </w:pPr>
  </w:style>
  <w:style w:type="paragraph" w:customStyle="1" w:styleId="zSoquijlblTypeDocument">
    <w:name w:val="zSoquij_lblTypeDocument"/>
    <w:basedOn w:val="Normal"/>
    <w:rsid w:val="00C025FC"/>
    <w:pPr>
      <w:jc w:val="center"/>
    </w:pPr>
    <w:rPr>
      <w:caps/>
    </w:rPr>
  </w:style>
  <w:style w:type="paragraph" w:customStyle="1" w:styleId="zSoquijlblProcureurDem">
    <w:name w:val="zSoquij_lblProcureurDem"/>
    <w:basedOn w:val="Normal"/>
  </w:style>
  <w:style w:type="paragraph" w:customStyle="1" w:styleId="zSoquijlblProcureurDef">
    <w:name w:val="zSoquij_lblProcureurDef"/>
    <w:basedOn w:val="Normal"/>
  </w:style>
  <w:style w:type="paragraph" w:customStyle="1" w:styleId="zSoquijlblDateAudience">
    <w:name w:val="zSoquij_lblDateAudience"/>
    <w:basedOn w:val="Normal"/>
  </w:style>
  <w:style w:type="paragraph" w:customStyle="1" w:styleId="zSoquijdatDateAudience">
    <w:name w:val="zSoquij_datDateAudience"/>
    <w:basedOn w:val="Normal"/>
  </w:style>
  <w:style w:type="paragraph" w:customStyle="1" w:styleId="zSoquijlblNomChambre">
    <w:name w:val="zSoquij_lblNomChambre"/>
    <w:basedOn w:val="Normal"/>
  </w:style>
  <w:style w:type="paragraph" w:customStyle="1" w:styleId="zSoquijlblOpinionJuge">
    <w:name w:val="zSoquij_lblOpinionJuge"/>
    <w:basedOn w:val="Normal"/>
    <w:pPr>
      <w:tabs>
        <w:tab w:val="left" w:pos="720"/>
      </w:tabs>
      <w:jc w:val="center"/>
    </w:pPr>
  </w:style>
  <w:style w:type="character" w:customStyle="1" w:styleId="zSoquijlblEntNoDossier">
    <w:name w:val="zSoquij_lblEntNoDossier"/>
    <w:rPr>
      <w:lang w:val="fr-CA"/>
    </w:rPr>
  </w:style>
  <w:style w:type="paragraph" w:customStyle="1" w:styleId="zSoquijlblTitrePartie">
    <w:name w:val="zSoquij_lblTitrePartie"/>
    <w:basedOn w:val="Normal"/>
  </w:style>
  <w:style w:type="paragraph" w:customStyle="1" w:styleId="zSoquijdatSignature3Juge">
    <w:name w:val="zSoquij_datSignature3Juge"/>
    <w:basedOn w:val="Normal"/>
  </w:style>
  <w:style w:type="paragraph" w:customStyle="1" w:styleId="ParagNonNum">
    <w:name w:val="ParagNonNum"/>
    <w:basedOn w:val="Paragrdouble"/>
    <w:pPr>
      <w:numPr>
        <w:numId w:val="0"/>
      </w:numPr>
      <w:ind w:firstLine="734"/>
    </w:pPr>
  </w:style>
  <w:style w:type="paragraph" w:customStyle="1" w:styleId="zSoquijdatIdJuge">
    <w:name w:val="zSoquij_datIdJuge"/>
    <w:basedOn w:val="Normal"/>
    <w:pPr>
      <w:jc w:val="center"/>
    </w:pPr>
    <w:rPr>
      <w:sz w:val="20"/>
    </w:rPr>
  </w:style>
  <w:style w:type="paragraph" w:customStyle="1" w:styleId="Sous-paragraphe">
    <w:name w:val="Sous-paragraphe"/>
    <w:basedOn w:val="Normal"/>
    <w:rsid w:val="00CF51ED"/>
    <w:pPr>
      <w:widowControl w:val="0"/>
      <w:numPr>
        <w:ilvl w:val="1"/>
        <w:numId w:val="2"/>
      </w:numPr>
      <w:spacing w:before="120" w:after="120"/>
      <w:ind w:left="1462" w:hanging="731"/>
      <w:jc w:val="both"/>
    </w:pPr>
    <w:rPr>
      <w:kern w:val="28"/>
    </w:rPr>
  </w:style>
  <w:style w:type="paragraph" w:customStyle="1" w:styleId="zSoquijdatNomProcureurDem">
    <w:name w:val="zSoquij_datNomProcureurDem"/>
    <w:basedOn w:val="zSoquijlblProcureurDem"/>
  </w:style>
  <w:style w:type="paragraph" w:customStyle="1" w:styleId="zSoquijdatNomProcureurDef">
    <w:name w:val="zSoquij_datNomProcureurDef"/>
    <w:basedOn w:val="zSoquijlblProcureurDef"/>
  </w:style>
  <w:style w:type="paragraph" w:customStyle="1" w:styleId="zSoquijdatCabinetProcureurDem">
    <w:name w:val="zSoquij_datCabinetProcureurDem"/>
    <w:basedOn w:val="Normal"/>
  </w:style>
  <w:style w:type="paragraph" w:customStyle="1" w:styleId="zSoquijdatCabinetProcureurDef">
    <w:name w:val="zSoquij_datCabinetProcureurDef"/>
    <w:basedOn w:val="zSoquijlblProcureurDef"/>
  </w:style>
  <w:style w:type="paragraph" w:customStyle="1" w:styleId="zSoquijdatSignatureJuge1">
    <w:name w:val="zSoquij_datSignatureJuge1"/>
    <w:basedOn w:val="Normal"/>
  </w:style>
  <w:style w:type="paragraph" w:customStyle="1" w:styleId="zSoquijdatSignatureJuge2">
    <w:name w:val="zSoquij_datSignatureJuge2"/>
    <w:basedOn w:val="Normal"/>
  </w:style>
  <w:style w:type="paragraph" w:customStyle="1" w:styleId="zSoquijdatSignatureJuge3">
    <w:name w:val="zSoquij_datSignatureJuge3"/>
    <w:basedOn w:val="Normal"/>
  </w:style>
  <w:style w:type="paragraph" w:customStyle="1" w:styleId="zSoquijdatRepertorie">
    <w:name w:val="zSoquij_datRepertorie"/>
    <w:basedOn w:val="zSoquijlblCour"/>
    <w:pPr>
      <w:jc w:val="left"/>
    </w:pPr>
    <w:rPr>
      <w:noProof/>
      <w:sz w:val="22"/>
    </w:rPr>
  </w:style>
  <w:style w:type="paragraph" w:customStyle="1" w:styleId="zSoquijdatRefNeutre">
    <w:name w:val="zSoquij_datRefNeutre"/>
    <w:basedOn w:val="zSoquijlblCour"/>
    <w:pPr>
      <w:jc w:val="left"/>
    </w:pPr>
    <w:rPr>
      <w:noProof/>
      <w:sz w:val="22"/>
    </w:rPr>
  </w:style>
  <w:style w:type="paragraph" w:customStyle="1" w:styleId="zSoquijdatSignature2Juge">
    <w:name w:val="zSoquij_datSignature2Juge"/>
    <w:basedOn w:val="zSoquijdatSignatureJuge3"/>
  </w:style>
  <w:style w:type="paragraph" w:customStyle="1" w:styleId="ParagAlaMarge">
    <w:name w:val="ParagAlaMarge"/>
    <w:basedOn w:val="ParagNonNum"/>
    <w:next w:val="Paragrdouble"/>
    <w:rsid w:val="00CF51ED"/>
    <w:pPr>
      <w:ind w:firstLine="0"/>
    </w:pPr>
  </w:style>
  <w:style w:type="paragraph" w:customStyle="1" w:styleId="zSoquijlblAssesseurs">
    <w:name w:val="zSoquij_lblAssesseurs"/>
    <w:basedOn w:val="Normal"/>
    <w:pPr>
      <w:ind w:left="14" w:right="-67"/>
    </w:pPr>
  </w:style>
  <w:style w:type="paragraph" w:customStyle="1" w:styleId="zSoquijdatAssesseurs">
    <w:name w:val="zSoquij_datAssesseurs"/>
    <w:basedOn w:val="Normal"/>
    <w:pPr>
      <w:ind w:left="14" w:right="-67"/>
    </w:pPr>
  </w:style>
  <w:style w:type="paragraph" w:customStyle="1" w:styleId="zSoquijlblLocalite">
    <w:name w:val="zSoquij_lblLocalite"/>
    <w:basedOn w:val="zSoquijlblGreffe"/>
  </w:style>
  <w:style w:type="paragraph" w:customStyle="1" w:styleId="zSoquijdatLocalite">
    <w:name w:val="zSoquij_datLocalite"/>
    <w:basedOn w:val="zSoquijdatGreffe"/>
  </w:style>
  <w:style w:type="numbering" w:customStyle="1" w:styleId="Style1">
    <w:name w:val="Style1"/>
    <w:uiPriority w:val="99"/>
    <w:rsid w:val="00CE1CAF"/>
    <w:pPr>
      <w:numPr>
        <w:numId w:val="5"/>
      </w:numPr>
    </w:pPr>
  </w:style>
  <w:style w:type="paragraph" w:styleId="TOCHeading">
    <w:name w:val="TOC Heading"/>
    <w:basedOn w:val="Heading1"/>
    <w:next w:val="Normal"/>
    <w:uiPriority w:val="39"/>
    <w:qFormat/>
    <w:rsid w:val="005B031B"/>
    <w:pPr>
      <w:keepLines/>
      <w:spacing w:before="480" w:after="0" w:line="276" w:lineRule="auto"/>
      <w:ind w:left="0" w:firstLine="0"/>
      <w:outlineLvl w:val="9"/>
    </w:pPr>
    <w:rPr>
      <w:rFonts w:ascii="Cambria" w:hAnsi="Cambria"/>
      <w:bCs/>
      <w:color w:val="365F91"/>
      <w:kern w:val="0"/>
      <w:sz w:val="28"/>
      <w:szCs w:val="28"/>
      <w:u w:val="none"/>
      <w:lang w:val="fr-CA" w:eastAsia="fr-CA"/>
    </w:rPr>
  </w:style>
  <w:style w:type="paragraph" w:styleId="TOC1">
    <w:name w:val="toc 1"/>
    <w:basedOn w:val="Normal"/>
    <w:next w:val="Normal"/>
    <w:autoRedefine/>
    <w:uiPriority w:val="39"/>
    <w:unhideWhenUsed/>
    <w:rsid w:val="005B031B"/>
  </w:style>
  <w:style w:type="paragraph" w:styleId="TOC2">
    <w:name w:val="toc 2"/>
    <w:basedOn w:val="Normal"/>
    <w:next w:val="Normal"/>
    <w:autoRedefine/>
    <w:uiPriority w:val="39"/>
    <w:unhideWhenUsed/>
    <w:rsid w:val="005B031B"/>
    <w:pPr>
      <w:ind w:left="240"/>
    </w:pPr>
  </w:style>
  <w:style w:type="paragraph" w:styleId="TOC3">
    <w:name w:val="toc 3"/>
    <w:basedOn w:val="Normal"/>
    <w:next w:val="Normal"/>
    <w:autoRedefine/>
    <w:uiPriority w:val="39"/>
    <w:unhideWhenUsed/>
    <w:rsid w:val="005B031B"/>
    <w:pPr>
      <w:ind w:left="480"/>
    </w:pPr>
  </w:style>
  <w:style w:type="character" w:styleId="Hyperlink">
    <w:name w:val="Hyperlink"/>
    <w:uiPriority w:val="99"/>
    <w:unhideWhenUsed/>
    <w:rsid w:val="005B031B"/>
    <w:rPr>
      <w:color w:val="0000FF"/>
      <w:u w:val="single"/>
      <w:lang w:val="fr-CA"/>
    </w:rPr>
  </w:style>
  <w:style w:type="paragraph" w:customStyle="1" w:styleId="Paragrsimple">
    <w:name w:val="Paragr. simple"/>
    <w:basedOn w:val="Paragrdouble"/>
    <w:qFormat/>
    <w:rsid w:val="005B031B"/>
    <w:pPr>
      <w:spacing w:line="240" w:lineRule="auto"/>
    </w:pPr>
  </w:style>
  <w:style w:type="paragraph" w:styleId="DocumentMap">
    <w:name w:val="Document Map"/>
    <w:basedOn w:val="Normal"/>
    <w:semiHidden/>
    <w:rsid w:val="00675358"/>
    <w:pPr>
      <w:shd w:val="clear" w:color="auto" w:fill="000080"/>
    </w:pPr>
    <w:rPr>
      <w:rFonts w:ascii="Tahoma" w:hAnsi="Tahoma" w:cs="Tahoma"/>
      <w:sz w:val="20"/>
    </w:rPr>
  </w:style>
  <w:style w:type="character" w:customStyle="1" w:styleId="Titre2Car">
    <w:name w:val="Titre 2 Car"/>
    <w:link w:val="Heading2"/>
    <w:rsid w:val="00354D71"/>
    <w:rPr>
      <w:rFonts w:ascii="Arial" w:hAnsi="Arial"/>
      <w:b/>
      <w:caps/>
      <w:sz w:val="24"/>
      <w:u w:val="single"/>
      <w:lang w:val="en-CA" w:eastAsia="fr-FR"/>
    </w:rPr>
  </w:style>
  <w:style w:type="paragraph" w:styleId="Header">
    <w:name w:val="header"/>
    <w:basedOn w:val="Normal"/>
    <w:link w:val="En-tteCar"/>
    <w:uiPriority w:val="99"/>
    <w:unhideWhenUsed/>
    <w:rsid w:val="00534479"/>
    <w:pPr>
      <w:tabs>
        <w:tab w:val="center" w:pos="4320"/>
        <w:tab w:val="right" w:pos="8640"/>
      </w:tabs>
    </w:pPr>
  </w:style>
  <w:style w:type="character" w:customStyle="1" w:styleId="En-tteCar">
    <w:name w:val="En-tête Car"/>
    <w:basedOn w:val="DefaultParagraphFont"/>
    <w:link w:val="Header"/>
    <w:uiPriority w:val="99"/>
    <w:rsid w:val="00534479"/>
    <w:rPr>
      <w:rFonts w:ascii="Arial" w:hAnsi="Arial"/>
      <w:sz w:val="24"/>
      <w:lang w:val="en-CA" w:eastAsia="fr-FR"/>
    </w:rPr>
  </w:style>
  <w:style w:type="paragraph" w:styleId="Footer">
    <w:name w:val="footer"/>
    <w:basedOn w:val="Normal"/>
    <w:link w:val="PieddepageCar"/>
    <w:uiPriority w:val="99"/>
    <w:unhideWhenUsed/>
    <w:rsid w:val="00534479"/>
    <w:pPr>
      <w:tabs>
        <w:tab w:val="center" w:pos="4320"/>
        <w:tab w:val="right" w:pos="8640"/>
      </w:tabs>
    </w:pPr>
  </w:style>
  <w:style w:type="character" w:customStyle="1" w:styleId="PieddepageCar">
    <w:name w:val="Pied de page Car"/>
    <w:basedOn w:val="DefaultParagraphFont"/>
    <w:link w:val="Footer"/>
    <w:uiPriority w:val="99"/>
    <w:rsid w:val="00534479"/>
    <w:rPr>
      <w:rFonts w:ascii="Arial" w:hAnsi="Arial"/>
      <w:sz w:val="24"/>
      <w:lang w:val="en-CA" w:eastAsia="fr-FR"/>
    </w:rPr>
  </w:style>
  <w:style w:type="character" w:styleId="FootnoteReference">
    <w:name w:val="footnote reference"/>
    <w:basedOn w:val="DefaultParagraphFont"/>
    <w:uiPriority w:val="99"/>
    <w:semiHidden/>
    <w:unhideWhenUsed/>
    <w:rsid w:val="007C088A"/>
    <w:rPr>
      <w:vertAlign w:val="superscript"/>
    </w:rPr>
  </w:style>
  <w:style w:type="paragraph" w:styleId="Quote">
    <w:name w:val="Quote"/>
    <w:basedOn w:val="Normal"/>
    <w:next w:val="Normal"/>
    <w:link w:val="CitationCar"/>
    <w:autoRedefine/>
    <w:uiPriority w:val="29"/>
    <w:qFormat/>
    <w:rsid w:val="008D27AA"/>
    <w:pPr>
      <w:spacing w:before="120" w:after="120"/>
      <w:ind w:left="862" w:right="862"/>
      <w:jc w:val="both"/>
    </w:pPr>
    <w:rPr>
      <w:iCs/>
      <w:sz w:val="22"/>
      <w:lang w:val="fr-CA"/>
    </w:rPr>
  </w:style>
  <w:style w:type="character" w:customStyle="1" w:styleId="CitationCar">
    <w:name w:val="Citation Car"/>
    <w:basedOn w:val="DefaultParagraphFont"/>
    <w:link w:val="Quote"/>
    <w:uiPriority w:val="29"/>
    <w:rsid w:val="008D27AA"/>
    <w:rPr>
      <w:rFonts w:ascii="Arial" w:hAnsi="Arial"/>
      <w:iCs/>
      <w:sz w:val="22"/>
      <w:lang w:eastAsia="fr-FR"/>
    </w:rPr>
  </w:style>
  <w:style w:type="character" w:customStyle="1" w:styleId="NotedebasdepageCar">
    <w:name w:val="Note de bas de page Car"/>
    <w:basedOn w:val="DefaultParagraphFont"/>
    <w:link w:val="FootnoteText"/>
    <w:semiHidden/>
    <w:rsid w:val="00EF05F8"/>
    <w:rPr>
      <w:rFonts w:ascii="Arial" w:hAnsi="Arial"/>
      <w:lang w:val="en-CA" w:eastAsia="fr-FR"/>
    </w:rPr>
  </w:style>
  <w:style w:type="character" w:styleId="UnresolvedMention">
    <w:name w:val="Unresolved Mention"/>
    <w:basedOn w:val="DefaultParagraphFont"/>
    <w:uiPriority w:val="99"/>
    <w:semiHidden/>
    <w:unhideWhenUsed/>
    <w:rsid w:val="00C93342"/>
    <w:rPr>
      <w:color w:val="605E5C"/>
      <w:shd w:val="clear" w:color="auto" w:fill="E1DFDD"/>
    </w:rPr>
  </w:style>
  <w:style w:type="paragraph" w:customStyle="1" w:styleId="paragrsimple0">
    <w:name w:val="paragrsimple"/>
    <w:basedOn w:val="Normal"/>
    <w:rsid w:val="000B07B5"/>
    <w:pPr>
      <w:spacing w:before="100" w:beforeAutospacing="1" w:after="100" w:afterAutospacing="1"/>
    </w:pPr>
    <w:rPr>
      <w:rFonts w:ascii="Times New Roman" w:hAnsi="Times New Roman"/>
      <w:szCs w:val="24"/>
      <w:lang w:val="fr-CA" w:eastAsia="fr-CA"/>
    </w:rPr>
  </w:style>
  <w:style w:type="paragraph" w:styleId="Revision">
    <w:name w:val="Revision"/>
    <w:hidden/>
    <w:uiPriority w:val="99"/>
    <w:semiHidden/>
    <w:rsid w:val="00F50F7A"/>
    <w:rPr>
      <w:rFonts w:ascii="Arial" w:hAnsi="Arial"/>
      <w:sz w:val="24"/>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header" Target="header1.xml"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ferrandon\Desktop\gabarits%20v12\Gabarit%20de%20jugement-Anglais%20(%202020-09-15)%20EDJ%20(2)%20c1.dotm" TargetMode="Externa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Chambredelafamille xmlns="7e5ba8b4-d6db-4eab-9404-f500ee3fa9a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8760954A20164A89D63E0412308309" ma:contentTypeVersion="6" ma:contentTypeDescription="Crée un document." ma:contentTypeScope="" ma:versionID="49b43d4a1ac3680a99a30bb9513fa8c4">
  <xsd:schema xmlns:xsd="http://www.w3.org/2001/XMLSchema" xmlns:xs="http://www.w3.org/2001/XMLSchema" xmlns:p="http://schemas.microsoft.com/office/2006/metadata/properties" xmlns:ns2="7e5ba8b4-d6db-4eab-9404-f500ee3fa9a8" xmlns:ns3="4dfbed45-abbb-4b63-a31e-d7ffeeefdcae" targetNamespace="http://schemas.microsoft.com/office/2006/metadata/properties" ma:root="true" ma:fieldsID="7f3fbb68f62d7d2a46c51aa377f0fca0" ns2:_="" ns3:_="">
    <xsd:import namespace="7e5ba8b4-d6db-4eab-9404-f500ee3fa9a8"/>
    <xsd:import namespace="4dfbed45-abbb-4b63-a31e-d7ffeeefdcae"/>
    <xsd:element name="properties">
      <xsd:complexType>
        <xsd:sequence>
          <xsd:element name="documentManagement">
            <xsd:complexType>
              <xsd:all>
                <xsd:element ref="ns2:MediaServiceObjectDetectorVersions" minOccurs="0"/>
                <xsd:element ref="ns3:SharedWithUsers" minOccurs="0"/>
                <xsd:element ref="ns3:SharedWithDetails" minOccurs="0"/>
                <xsd:element ref="ns2:MediaServiceSearchProperties" minOccurs="0"/>
                <xsd:element ref="ns2:Chambredelafamil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5ba8b4-d6db-4eab-9404-f500ee3fa9a8" elementFormDefault="qualified">
    <xsd:import namespace="http://schemas.microsoft.com/office/2006/documentManagement/types"/>
    <xsd:import namespace="http://schemas.microsoft.com/office/infopath/2007/PartnerControls"/>
    <xsd:element name="MediaServiceObjectDetectorVersions" ma:index="8"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Chambredelafamille" ma:index="12" nillable="true" ma:displayName="Page ou rubrique Sésame" ma:format="Dropdown" ma:internalName="Chambredelafamill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dfbed45-abbb-4b63-a31e-d7ffeeefdcae" elementFormDefault="qualified">
    <xsd:import namespace="http://schemas.microsoft.com/office/2006/documentManagement/types"/>
    <xsd:import namespace="http://schemas.microsoft.com/office/infopath/2007/PartnerControls"/>
    <xsd:element name="SharedWithUsers" ma:index="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67253-902C-4E89-95F3-769B67150EE4}">
  <ds:schemaRefs>
    <ds:schemaRef ds:uri="http://schemas.microsoft.com/office/2006/metadata/properties"/>
    <ds:schemaRef ds:uri="http://schemas.microsoft.com/office/infopath/2007/PartnerControls"/>
    <ds:schemaRef ds:uri="7e5ba8b4-d6db-4eab-9404-f500ee3fa9a8"/>
  </ds:schemaRefs>
</ds:datastoreItem>
</file>

<file path=customXml/itemProps2.xml><?xml version="1.0" encoding="utf-8"?>
<ds:datastoreItem xmlns:ds="http://schemas.openxmlformats.org/officeDocument/2006/customXml" ds:itemID="{613D7916-273A-4071-ACF0-243738F3C7CF}">
  <ds:schemaRefs>
    <ds:schemaRef ds:uri="http://schemas.openxmlformats.org/officeDocument/2006/bibliography"/>
  </ds:schemaRefs>
</ds:datastoreItem>
</file>

<file path=customXml/itemProps3.xml><?xml version="1.0" encoding="utf-8"?>
<ds:datastoreItem xmlns:ds="http://schemas.openxmlformats.org/officeDocument/2006/customXml" ds:itemID="{3AD079FB-F0BC-4923-BE49-0AFBCFFF0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5ba8b4-d6db-4eab-9404-f500ee3fa9a8"/>
    <ds:schemaRef ds:uri="4dfbed45-abbb-4b63-a31e-d7ffeeefdc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7CD7D2-433B-4EF5-8390-000200EEBC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Gabarit de jugement-Anglais ( 2020-09-15) EDJ (2) c1.dotm</Template>
  <TotalTime>354</TotalTime>
  <Pages>20</Pages>
  <Words>6707</Words>
  <Characters>36889</Characters>
  <Application>Microsoft Office Word</Application>
  <DocSecurity>0</DocSecurity>
  <Lines>307</Lines>
  <Paragraphs>87</Paragraphs>
  <ScaleCrop>false</ScaleCrop>
  <HeadingPairs>
    <vt:vector size="2" baseType="variant">
      <vt:variant>
        <vt:lpstr>Titre</vt:lpstr>
      </vt:variant>
      <vt:variant>
        <vt:i4>1</vt:i4>
      </vt:variant>
    </vt:vector>
  </HeadingPairs>
  <TitlesOfParts>
    <vt:vector size="1" baseType="lpstr">
      <vt:lpstr>Gabarit Cour supérieure V1.12 - ANG (2020-12-07)</vt:lpstr>
    </vt:vector>
  </TitlesOfParts>
  <Company/>
  <LinksUpToDate>false</LinksUpToDate>
  <CharactersWithSpaces>43509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Gabarit Cour supérieure V1.12 - ANG (2020-12-07)</dc:title>
  <cp:revision>37</cp:revision>
  <cp:lastPrinted>2026-06-10T14:59:00Z</cp:lastPrinted>
  <dcterms:created xsi:type="dcterms:W3CDTF">2026-06-09T13:18:00Z</dcterms:created>
  <dcterms:modified xsi:type="dcterms:W3CDTF">2026-06-10T18:46:00Z</dcterms:modified>
</cp:coreProperties>
</file>